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874A06" w14:textId="77777777" w:rsidR="00561476" w:rsidRPr="001267A7" w:rsidRDefault="00000000" w:rsidP="00561476">
      <w:pPr>
        <w:jc w:val="center"/>
        <w:rPr>
          <w:b/>
          <w:sz w:val="36"/>
          <w:szCs w:val="36"/>
        </w:rPr>
      </w:pPr>
      <w:r>
        <w:rPr>
          <w:b/>
          <w:sz w:val="36"/>
          <w:szCs w:val="36"/>
        </w:rPr>
        <w:pict w14:anchorId="4733575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1.75pt;height:186.75pt">
            <v:imagedata r:id="rId7" o:title="Новый логотип1"/>
          </v:shape>
        </w:pict>
      </w:r>
    </w:p>
    <w:p w14:paraId="502F962E" w14:textId="77777777" w:rsidR="00561476" w:rsidRPr="001267A7" w:rsidRDefault="00561476" w:rsidP="00561476">
      <w:pPr>
        <w:jc w:val="center"/>
        <w:rPr>
          <w:b/>
          <w:sz w:val="36"/>
          <w:szCs w:val="36"/>
          <w:lang w:val="en-US"/>
        </w:rPr>
      </w:pPr>
    </w:p>
    <w:p w14:paraId="4CA13FEC" w14:textId="77777777" w:rsidR="000A4DD6" w:rsidRPr="001267A7" w:rsidRDefault="000A4DD6" w:rsidP="00561476">
      <w:pPr>
        <w:jc w:val="center"/>
        <w:rPr>
          <w:b/>
          <w:sz w:val="36"/>
          <w:szCs w:val="36"/>
          <w:lang w:val="en-US"/>
        </w:rPr>
      </w:pPr>
    </w:p>
    <w:p w14:paraId="611E1913" w14:textId="77777777" w:rsidR="000A4DD6" w:rsidRPr="001267A7" w:rsidRDefault="000A4DD6" w:rsidP="00561476">
      <w:pPr>
        <w:jc w:val="center"/>
        <w:rPr>
          <w:b/>
          <w:sz w:val="36"/>
          <w:szCs w:val="36"/>
          <w:lang w:val="en-US"/>
        </w:rPr>
      </w:pPr>
    </w:p>
    <w:p w14:paraId="5AB4CDA9" w14:textId="77777777" w:rsidR="000A4DD6" w:rsidRPr="001267A7" w:rsidRDefault="000A4DD6" w:rsidP="00561476">
      <w:pPr>
        <w:jc w:val="center"/>
        <w:rPr>
          <w:b/>
          <w:sz w:val="36"/>
          <w:szCs w:val="36"/>
          <w:lang w:val="en-US"/>
        </w:rPr>
      </w:pPr>
    </w:p>
    <w:p w14:paraId="6542AB7A" w14:textId="77777777" w:rsidR="00561476" w:rsidRPr="001267A7" w:rsidRDefault="00561476" w:rsidP="00561476">
      <w:pPr>
        <w:tabs>
          <w:tab w:val="left" w:pos="5204"/>
        </w:tabs>
        <w:jc w:val="left"/>
        <w:rPr>
          <w:b/>
          <w:sz w:val="36"/>
          <w:szCs w:val="36"/>
        </w:rPr>
      </w:pPr>
      <w:r w:rsidRPr="001267A7">
        <w:rPr>
          <w:b/>
          <w:sz w:val="36"/>
          <w:szCs w:val="36"/>
        </w:rPr>
        <w:tab/>
      </w:r>
    </w:p>
    <w:p w14:paraId="49B9546A" w14:textId="77777777" w:rsidR="00561476" w:rsidRPr="001267A7" w:rsidRDefault="00561476" w:rsidP="00561476">
      <w:pPr>
        <w:jc w:val="center"/>
        <w:rPr>
          <w:b/>
          <w:sz w:val="36"/>
          <w:szCs w:val="36"/>
        </w:rPr>
      </w:pPr>
    </w:p>
    <w:p w14:paraId="65E85254" w14:textId="77777777" w:rsidR="00561476" w:rsidRPr="001267A7" w:rsidRDefault="00CB76D2" w:rsidP="00561476">
      <w:pPr>
        <w:jc w:val="center"/>
        <w:rPr>
          <w:b/>
          <w:sz w:val="48"/>
          <w:szCs w:val="48"/>
        </w:rPr>
      </w:pPr>
      <w:bookmarkStart w:id="0" w:name="_Toc226196784"/>
      <w:bookmarkStart w:id="1" w:name="_Toc226197203"/>
      <w:r w:rsidRPr="001267A7">
        <w:rPr>
          <w:b/>
          <w:sz w:val="48"/>
          <w:szCs w:val="48"/>
        </w:rPr>
        <w:t>М</w:t>
      </w:r>
      <w:r w:rsidR="00561476" w:rsidRPr="001267A7">
        <w:rPr>
          <w:b/>
          <w:sz w:val="48"/>
          <w:szCs w:val="48"/>
        </w:rPr>
        <w:t>ониторинг СМИ</w:t>
      </w:r>
      <w:bookmarkEnd w:id="0"/>
      <w:bookmarkEnd w:id="1"/>
      <w:r w:rsidR="00561476" w:rsidRPr="001267A7">
        <w:rPr>
          <w:b/>
          <w:sz w:val="48"/>
          <w:szCs w:val="48"/>
        </w:rPr>
        <w:t xml:space="preserve"> РФ</w:t>
      </w:r>
    </w:p>
    <w:p w14:paraId="1CAB48F8" w14:textId="77777777" w:rsidR="00561476" w:rsidRPr="001267A7" w:rsidRDefault="00561476" w:rsidP="00561476">
      <w:pPr>
        <w:jc w:val="center"/>
        <w:rPr>
          <w:b/>
          <w:sz w:val="48"/>
          <w:szCs w:val="48"/>
        </w:rPr>
      </w:pPr>
      <w:bookmarkStart w:id="2" w:name="_Toc226196785"/>
      <w:bookmarkStart w:id="3" w:name="_Toc226197204"/>
      <w:r w:rsidRPr="001267A7">
        <w:rPr>
          <w:b/>
          <w:sz w:val="48"/>
          <w:szCs w:val="48"/>
        </w:rPr>
        <w:t>по пенсионной тематике</w:t>
      </w:r>
      <w:bookmarkEnd w:id="2"/>
      <w:bookmarkEnd w:id="3"/>
    </w:p>
    <w:p w14:paraId="721B0D82" w14:textId="77777777" w:rsidR="008B6D1B" w:rsidRPr="001267A7" w:rsidRDefault="008B6D1B" w:rsidP="00C70A20">
      <w:pPr>
        <w:jc w:val="center"/>
        <w:rPr>
          <w:b/>
          <w:sz w:val="48"/>
          <w:szCs w:val="48"/>
        </w:rPr>
      </w:pPr>
    </w:p>
    <w:p w14:paraId="12E23601" w14:textId="77777777" w:rsidR="007D6FE5" w:rsidRPr="001267A7" w:rsidRDefault="007D6FE5" w:rsidP="00C70A20">
      <w:pPr>
        <w:jc w:val="center"/>
        <w:rPr>
          <w:b/>
          <w:sz w:val="36"/>
          <w:szCs w:val="36"/>
        </w:rPr>
      </w:pPr>
      <w:r w:rsidRPr="001267A7">
        <w:rPr>
          <w:b/>
          <w:sz w:val="36"/>
          <w:szCs w:val="36"/>
        </w:rPr>
        <w:t xml:space="preserve"> </w:t>
      </w:r>
    </w:p>
    <w:p w14:paraId="0B3E8EEC" w14:textId="77777777" w:rsidR="00C70A20" w:rsidRPr="001267A7" w:rsidRDefault="00A93E4A" w:rsidP="00C70A20">
      <w:pPr>
        <w:jc w:val="center"/>
        <w:rPr>
          <w:b/>
          <w:sz w:val="40"/>
          <w:szCs w:val="40"/>
        </w:rPr>
      </w:pPr>
      <w:r w:rsidRPr="001267A7">
        <w:rPr>
          <w:b/>
          <w:sz w:val="40"/>
          <w:szCs w:val="40"/>
          <w:lang w:val="en-US"/>
        </w:rPr>
        <w:t>20</w:t>
      </w:r>
      <w:r w:rsidR="00CB6B64" w:rsidRPr="001267A7">
        <w:rPr>
          <w:b/>
          <w:sz w:val="40"/>
          <w:szCs w:val="40"/>
        </w:rPr>
        <w:t>.</w:t>
      </w:r>
      <w:r w:rsidR="00C8666E" w:rsidRPr="001267A7">
        <w:rPr>
          <w:b/>
          <w:sz w:val="40"/>
          <w:szCs w:val="40"/>
          <w:lang w:val="en-US"/>
        </w:rPr>
        <w:t>0</w:t>
      </w:r>
      <w:r w:rsidR="000449B0" w:rsidRPr="001267A7">
        <w:rPr>
          <w:b/>
          <w:sz w:val="40"/>
          <w:szCs w:val="40"/>
          <w:lang w:val="en-US"/>
        </w:rPr>
        <w:t>5</w:t>
      </w:r>
      <w:r w:rsidR="000214CF" w:rsidRPr="001267A7">
        <w:rPr>
          <w:b/>
          <w:sz w:val="40"/>
          <w:szCs w:val="40"/>
        </w:rPr>
        <w:t>.</w:t>
      </w:r>
      <w:r w:rsidR="007D6FE5" w:rsidRPr="001267A7">
        <w:rPr>
          <w:b/>
          <w:sz w:val="40"/>
          <w:szCs w:val="40"/>
        </w:rPr>
        <w:t>20</w:t>
      </w:r>
      <w:r w:rsidR="00EB57E7" w:rsidRPr="001267A7">
        <w:rPr>
          <w:b/>
          <w:sz w:val="40"/>
          <w:szCs w:val="40"/>
        </w:rPr>
        <w:t>2</w:t>
      </w:r>
      <w:r w:rsidR="00C8666E" w:rsidRPr="001267A7">
        <w:rPr>
          <w:b/>
          <w:sz w:val="40"/>
          <w:szCs w:val="40"/>
          <w:lang w:val="en-US"/>
        </w:rPr>
        <w:t>5</w:t>
      </w:r>
      <w:r w:rsidR="00C70A20" w:rsidRPr="001267A7">
        <w:rPr>
          <w:b/>
          <w:sz w:val="40"/>
          <w:szCs w:val="40"/>
        </w:rPr>
        <w:t xml:space="preserve"> г</w:t>
      </w:r>
      <w:r w:rsidR="007D6FE5" w:rsidRPr="001267A7">
        <w:rPr>
          <w:b/>
          <w:sz w:val="40"/>
          <w:szCs w:val="40"/>
        </w:rPr>
        <w:t>.</w:t>
      </w:r>
    </w:p>
    <w:p w14:paraId="79FD9CF1" w14:textId="77777777" w:rsidR="007D6FE5" w:rsidRPr="001267A7" w:rsidRDefault="007D6FE5" w:rsidP="000C1A46">
      <w:pPr>
        <w:jc w:val="center"/>
        <w:rPr>
          <w:b/>
          <w:sz w:val="40"/>
          <w:szCs w:val="40"/>
        </w:rPr>
      </w:pPr>
    </w:p>
    <w:p w14:paraId="117AC603" w14:textId="77777777" w:rsidR="00C16C6D" w:rsidRPr="001267A7" w:rsidRDefault="00C16C6D" w:rsidP="000C1A46">
      <w:pPr>
        <w:jc w:val="center"/>
        <w:rPr>
          <w:b/>
          <w:sz w:val="40"/>
          <w:szCs w:val="40"/>
        </w:rPr>
      </w:pPr>
    </w:p>
    <w:p w14:paraId="2E0B0954" w14:textId="77777777" w:rsidR="00C70A20" w:rsidRPr="001267A7" w:rsidRDefault="00C70A20" w:rsidP="000C1A46">
      <w:pPr>
        <w:jc w:val="center"/>
        <w:rPr>
          <w:b/>
          <w:sz w:val="40"/>
          <w:szCs w:val="40"/>
        </w:rPr>
      </w:pPr>
    </w:p>
    <w:p w14:paraId="7871A3BE" w14:textId="77777777" w:rsidR="00C70A20" w:rsidRPr="001267A7" w:rsidRDefault="00C70A20" w:rsidP="000C1A46">
      <w:pPr>
        <w:jc w:val="center"/>
      </w:pPr>
    </w:p>
    <w:p w14:paraId="3AA3B41F" w14:textId="77777777" w:rsidR="00CB76D2" w:rsidRPr="001267A7" w:rsidRDefault="00CB76D2" w:rsidP="000C1A46">
      <w:pPr>
        <w:jc w:val="center"/>
        <w:rPr>
          <w:b/>
          <w:sz w:val="40"/>
          <w:szCs w:val="40"/>
        </w:rPr>
      </w:pPr>
    </w:p>
    <w:p w14:paraId="3541EC18" w14:textId="77777777" w:rsidR="009D66A1" w:rsidRPr="001267A7" w:rsidRDefault="009B23FE" w:rsidP="009B23FE">
      <w:pPr>
        <w:pStyle w:val="10"/>
        <w:jc w:val="center"/>
      </w:pPr>
      <w:r w:rsidRPr="001267A7">
        <w:br w:type="page"/>
      </w:r>
      <w:bookmarkStart w:id="4" w:name="_Toc396864626"/>
      <w:bookmarkStart w:id="5" w:name="_Toc198618841"/>
      <w:r w:rsidR="009D79CC" w:rsidRPr="001267A7">
        <w:lastRenderedPageBreak/>
        <w:t>Те</w:t>
      </w:r>
      <w:r w:rsidR="009D66A1" w:rsidRPr="001267A7">
        <w:t>мы</w:t>
      </w:r>
      <w:r w:rsidR="009D66A1" w:rsidRPr="001267A7">
        <w:rPr>
          <w:rFonts w:ascii="Arial Rounded MT Bold" w:hAnsi="Arial Rounded MT Bold"/>
        </w:rPr>
        <w:t xml:space="preserve"> </w:t>
      </w:r>
      <w:r w:rsidR="009D66A1" w:rsidRPr="001267A7">
        <w:t>дня</w:t>
      </w:r>
      <w:bookmarkEnd w:id="4"/>
      <w:bookmarkEnd w:id="5"/>
    </w:p>
    <w:p w14:paraId="3D0B1E99" w14:textId="77777777" w:rsidR="00A1463C" w:rsidRPr="001267A7" w:rsidRDefault="00AE20CB" w:rsidP="00676D5F">
      <w:pPr>
        <w:numPr>
          <w:ilvl w:val="0"/>
          <w:numId w:val="25"/>
        </w:numPr>
        <w:rPr>
          <w:i/>
        </w:rPr>
      </w:pPr>
      <w:r w:rsidRPr="001267A7">
        <w:rPr>
          <w:i/>
        </w:rPr>
        <w:t xml:space="preserve">Идея развивать российский фондовый рынок за счет перекладывания части рисков на будущих пенсионеров никогда не получит поддержки у Центрального банка РФ. Такое обещание во время конференции Национальной ассоциации участников фондового рынка «Российский фондовый рынок 2025» дала председатель ЦБ Эльвира Набиуллина. Она отреагировала на слова президента НАУФОР Алексея Тимофеева, который предложил дать негосударственным пенсионным фондам право на риск при инвестициях в акции отечественных компаний, </w:t>
      </w:r>
      <w:hyperlink w:anchor="a1" w:history="1">
        <w:r w:rsidRPr="001267A7">
          <w:rPr>
            <w:rStyle w:val="a3"/>
            <w:i/>
          </w:rPr>
          <w:t>пишет «Конкурент»</w:t>
        </w:r>
      </w:hyperlink>
    </w:p>
    <w:p w14:paraId="6EA1B12A" w14:textId="77777777" w:rsidR="00AE20CB" w:rsidRPr="001267A7" w:rsidRDefault="00AE20CB" w:rsidP="00676D5F">
      <w:pPr>
        <w:numPr>
          <w:ilvl w:val="0"/>
          <w:numId w:val="25"/>
        </w:numPr>
        <w:rPr>
          <w:i/>
        </w:rPr>
      </w:pPr>
      <w:r w:rsidRPr="001267A7">
        <w:rPr>
          <w:i/>
        </w:rPr>
        <w:t xml:space="preserve">Свыше 46% россиян, если бы снова оказались выпускниками и стояли на пороге взрослой жизни, ничего не стали бы в ней менять. В то же время 15% выбрали бы другой вуз или профессию, 13% переехали в другой город, а 3% — в другую страну. Построили бы отношения с другим человеком 6% респондентов, а около 3% начали бы вести здоровый образ жизни или разумнее тратить деньги. Такие результаты были получены в результате исследования НПФ «Социум» и страховой компании «Ингосстрах», </w:t>
      </w:r>
      <w:hyperlink w:anchor="a2" w:history="1">
        <w:r w:rsidRPr="001267A7">
          <w:rPr>
            <w:rStyle w:val="a3"/>
            <w:i/>
          </w:rPr>
          <w:t>сообщает AK&amp;M</w:t>
        </w:r>
      </w:hyperlink>
    </w:p>
    <w:p w14:paraId="4C169371" w14:textId="77777777" w:rsidR="00AE20CB" w:rsidRPr="001267A7" w:rsidRDefault="00AE20CB" w:rsidP="00676D5F">
      <w:pPr>
        <w:numPr>
          <w:ilvl w:val="0"/>
          <w:numId w:val="25"/>
        </w:numPr>
        <w:rPr>
          <w:i/>
        </w:rPr>
      </w:pPr>
      <w:r w:rsidRPr="001267A7">
        <w:rPr>
          <w:i/>
        </w:rPr>
        <w:t xml:space="preserve">Средний размер пенсии в России составляет 23 175 рублей. Государство придерживается ответственной социальной политики и регулярно индексирует пенсии. Но размер дохода на пенсии можно увеличить и самостоятельно, если позаботиться об этом заранее. Как это сделать, </w:t>
      </w:r>
      <w:hyperlink w:anchor="a3" w:history="1">
        <w:r w:rsidRPr="001267A7">
          <w:rPr>
            <w:rStyle w:val="a3"/>
            <w:i/>
          </w:rPr>
          <w:t>"Российской газете" рассказал</w:t>
        </w:r>
      </w:hyperlink>
      <w:r w:rsidRPr="001267A7">
        <w:rPr>
          <w:i/>
        </w:rPr>
        <w:t xml:space="preserve"> президент Национальной ассоциации негосударственных пенсионных фондов (НАПФ) Сергей Беляков</w:t>
      </w:r>
    </w:p>
    <w:p w14:paraId="19232135" w14:textId="77777777" w:rsidR="00AE20CB" w:rsidRPr="001267A7" w:rsidRDefault="00AE20CB" w:rsidP="00676D5F">
      <w:pPr>
        <w:numPr>
          <w:ilvl w:val="0"/>
          <w:numId w:val="25"/>
        </w:numPr>
        <w:rPr>
          <w:i/>
        </w:rPr>
      </w:pPr>
      <w:r w:rsidRPr="001267A7">
        <w:rPr>
          <w:i/>
        </w:rPr>
        <w:t xml:space="preserve">В 2025 году государство впервые начислит софинансирование на взносы, сделанные россиянами в рамках программы долгосрочных сбережений (ПДС) в прошлом году. Планируемая сумма поступлений - 21,4 млрд рублей, следует из обзора Банка России ключевых показателей негосударственных пенсионных фондов (НПФ) за IV квартал 2024, проанализированного СберНПФ. Всего же по итогам 2024 года объём всех пенсионных средств, включая средства обязательного пенсионного страхования (ОПС), превысил 8 трлн рублей, а рост совокупного портфеля пенсионных средств увеличился до 7,5% за год, </w:t>
      </w:r>
      <w:hyperlink w:anchor="a4" w:history="1">
        <w:r w:rsidRPr="001267A7">
          <w:rPr>
            <w:rStyle w:val="a3"/>
            <w:i/>
          </w:rPr>
          <w:t>передает «Банковское дело»</w:t>
        </w:r>
      </w:hyperlink>
    </w:p>
    <w:p w14:paraId="73BDA8D8" w14:textId="77777777" w:rsidR="00AE20CB" w:rsidRPr="001267A7" w:rsidRDefault="00481BEA" w:rsidP="00676D5F">
      <w:pPr>
        <w:numPr>
          <w:ilvl w:val="0"/>
          <w:numId w:val="25"/>
        </w:numPr>
        <w:rPr>
          <w:i/>
        </w:rPr>
      </w:pPr>
      <w:r w:rsidRPr="001267A7">
        <w:rPr>
          <w:i/>
        </w:rPr>
        <w:t xml:space="preserve">Правительство внесло в Госдуму законопроект (N919131-80) с поправками в Налоговый кодекс (НК) РФ, касающимися порядка налогообложения договоров долгосрочных сбережений. Документ опубликован в электронной базе данных парламента в пятницу. Поправками вносятся изменения в статьи 102 и 126 первой части и во вторую часть НК, которые направлены на «совершенствование налогового стимулирования инструментов для формирования долгосрочных сбережений», </w:t>
      </w:r>
      <w:hyperlink w:anchor="a5" w:history="1">
        <w:r w:rsidRPr="001267A7">
          <w:rPr>
            <w:rStyle w:val="a3"/>
            <w:i/>
          </w:rPr>
          <w:t>сообщает «Агентство страховых новостей»</w:t>
        </w:r>
      </w:hyperlink>
    </w:p>
    <w:p w14:paraId="4E036852" w14:textId="77777777" w:rsidR="00481BEA" w:rsidRPr="001267A7" w:rsidRDefault="00481BEA" w:rsidP="00676D5F">
      <w:pPr>
        <w:numPr>
          <w:ilvl w:val="0"/>
          <w:numId w:val="25"/>
        </w:numPr>
        <w:rPr>
          <w:i/>
        </w:rPr>
      </w:pPr>
      <w:r w:rsidRPr="001267A7">
        <w:rPr>
          <w:i/>
        </w:rPr>
        <w:t>Средняя страховая пенсия по старости для работающих пенсионеров за первые три месяца этого года выросла на 150 рублей, до 22 тыс., выяснили «Известия». Это первые результаты индексации, которую возобновили с 2025-</w:t>
      </w:r>
      <w:r w:rsidRPr="001267A7">
        <w:rPr>
          <w:i/>
        </w:rPr>
        <w:lastRenderedPageBreak/>
        <w:t xml:space="preserve">го. При этом годом ранее средние начисления росли даже быстрее. Кроме того, разрыв между господдержкой трудящихся и незанятых граждан всё еще достаточно большой, </w:t>
      </w:r>
      <w:hyperlink w:anchor="a6" w:history="1">
        <w:r w:rsidRPr="001267A7">
          <w:rPr>
            <w:rStyle w:val="a3"/>
            <w:i/>
          </w:rPr>
          <w:t>пишет газета «Известия»</w:t>
        </w:r>
      </w:hyperlink>
    </w:p>
    <w:p w14:paraId="73C5E362" w14:textId="77777777" w:rsidR="00940029" w:rsidRPr="001267A7" w:rsidRDefault="009D79CC" w:rsidP="00940029">
      <w:pPr>
        <w:pStyle w:val="10"/>
        <w:jc w:val="center"/>
      </w:pPr>
      <w:bookmarkStart w:id="6" w:name="_Toc173015209"/>
      <w:bookmarkStart w:id="7" w:name="_Toc198618842"/>
      <w:r w:rsidRPr="001267A7">
        <w:t>Ци</w:t>
      </w:r>
      <w:r w:rsidR="00940029" w:rsidRPr="001267A7">
        <w:t>таты дня</w:t>
      </w:r>
      <w:bookmarkEnd w:id="6"/>
      <w:bookmarkEnd w:id="7"/>
    </w:p>
    <w:p w14:paraId="09B11F64" w14:textId="77777777" w:rsidR="00481BEA" w:rsidRPr="001267A7" w:rsidRDefault="00481BEA" w:rsidP="003B3BAA">
      <w:pPr>
        <w:numPr>
          <w:ilvl w:val="0"/>
          <w:numId w:val="27"/>
        </w:numPr>
        <w:rPr>
          <w:i/>
        </w:rPr>
      </w:pPr>
      <w:r w:rsidRPr="001267A7">
        <w:rPr>
          <w:i/>
        </w:rPr>
        <w:t>Сергей Беляков, президент НАПФ: «Эксперты Международной организации труда считают, что пенсия должна составлять хотя бы 40% от прежних доходов. Чтобы выйти на этот рекомендуемый уровень или даже превысить его, есть несколько решений. Представим сорокалетнюю женщину с зарплатой в 80 тысяч рублей, которая решила 5% этих денег тратить на создание финансовой подушки для себя в будущем. Что ей выбрать на эти четыре тысячи рублей в месяц? Во-первых, она может принять участие в Программе долгосрочных сбережений (ПДС), операторами которой определены негосударственные пенсионные фонды. Это один из самых простых вариантов улучшения дохода на пенсии. Он доступен каждому россиянину и позволяет формировать накопления при финансовой поддержке государства»</w:t>
      </w:r>
    </w:p>
    <w:p w14:paraId="6B0DEB4F" w14:textId="77777777" w:rsidR="00481BEA" w:rsidRPr="001267A7" w:rsidRDefault="00481BEA" w:rsidP="003B3BAA">
      <w:pPr>
        <w:numPr>
          <w:ilvl w:val="0"/>
          <w:numId w:val="27"/>
        </w:numPr>
        <w:rPr>
          <w:i/>
        </w:rPr>
      </w:pPr>
      <w:r w:rsidRPr="001267A7">
        <w:rPr>
          <w:i/>
        </w:rPr>
        <w:t>Сергей Беляков, президент НАПФ: «Второй способ - вступить в одну из корпоративных пенсионных программ (КПП), если у работодателя такая программа уже действует. Этот вид дополнительного пенсионного обеспечения является частью соцпакета в крупных компаниях. Подобные программы реализуют предприятия из сферы строительства, обрабатывающей промышленности, логистики, транспорта, энергетики, информационных технологий и многих других областях. Механизм их функционирования прост: предприятие открывает специальный индивидуальный пенсионный счет каждого сотрудника в выбранном негосударственном пенсионном фонде (НПФ) и осуществляет регулярное пополнение счета взносами»</w:t>
      </w:r>
    </w:p>
    <w:p w14:paraId="10092772" w14:textId="77777777" w:rsidR="001267A7" w:rsidRPr="001267A7" w:rsidRDefault="001267A7" w:rsidP="003B3BAA">
      <w:pPr>
        <w:numPr>
          <w:ilvl w:val="0"/>
          <w:numId w:val="27"/>
        </w:numPr>
        <w:rPr>
          <w:i/>
        </w:rPr>
      </w:pPr>
      <w:r w:rsidRPr="001267A7">
        <w:rPr>
          <w:i/>
        </w:rPr>
        <w:t>Ольга Изюмова, заместитель генерального директора СберНПФ: «Рост интереса к программе долгосрочных сбережений говорит сам за себя - всё больше людей ищут надёжные и прозрачные механизмы для формирования капитала на будущее. На апрель 2025 года в ПДС вступило более 4 млн человек, оценочный объем привлеченных в программу средств составил почти 300 млрд рублей. Из них более 3 млн заключили договоры в СберНПФ, объем привлеченных средств - более 200 млрд рублей. Главный стимул для граждан, решивших копить с ПДС, - конечно, государственная поддержка. За десять лет участия в программе человек может получить до 360 тыс. рублей софинансирования. А вместе с налоговыми вычетами, которые также предусмотрены по программе, софинансирование дает заметную прибавку к накоплениям»</w:t>
      </w:r>
    </w:p>
    <w:p w14:paraId="4A3AE9B3" w14:textId="77777777" w:rsidR="00676D5F" w:rsidRPr="001267A7" w:rsidRDefault="00481BEA" w:rsidP="003B3BAA">
      <w:pPr>
        <w:numPr>
          <w:ilvl w:val="0"/>
          <w:numId w:val="27"/>
        </w:numPr>
        <w:rPr>
          <w:i/>
        </w:rPr>
      </w:pPr>
      <w:r w:rsidRPr="001267A7">
        <w:rPr>
          <w:i/>
        </w:rPr>
        <w:t xml:space="preserve">Владимир Чернов, Freedom Finance Global: «Чтобы обеспечить себе достойную старость, важно начинать формировать накопления как можно раньше. Это может быть участие в корпоративных пенсионных программах, открытие индивидуальных инвестиционных счетов (ИИС), регулярные вложения в консервативные инструменты, такие как облигации федерального займа (ОФЗ), дивидендные акции, банковские депозиты или недвижимость, </w:t>
      </w:r>
      <w:r w:rsidRPr="001267A7">
        <w:rPr>
          <w:i/>
        </w:rPr>
        <w:lastRenderedPageBreak/>
        <w:t>приносящая арендный доход. Желательно начинать планировать накопления таким образом, чтобы к выходу на пенсию можно было получать пассивный доход, сопоставимый хотя бы с 50-60% от последней заработной платы»</w:t>
      </w:r>
    </w:p>
    <w:p w14:paraId="51245516" w14:textId="77777777" w:rsidR="00A0290C" w:rsidRPr="001267A7" w:rsidRDefault="00A0290C" w:rsidP="009D66A1">
      <w:pPr>
        <w:pStyle w:val="a9"/>
        <w:rPr>
          <w:u w:val="single"/>
        </w:rPr>
      </w:pPr>
      <w:bookmarkStart w:id="8" w:name="_Toc246216357"/>
      <w:bookmarkStart w:id="9" w:name="_Toc246297404"/>
      <w:bookmarkStart w:id="10" w:name="_Toc246216257"/>
      <w:bookmarkStart w:id="11" w:name="_Toc226038294"/>
      <w:bookmarkStart w:id="12" w:name="_Toc245698447"/>
      <w:bookmarkStart w:id="13" w:name="_Toc245783070"/>
      <w:bookmarkStart w:id="14" w:name="_Toc245869107"/>
      <w:bookmarkStart w:id="15" w:name="_Toc246129443"/>
      <w:r w:rsidRPr="001267A7">
        <w:rPr>
          <w:u w:val="single"/>
        </w:rPr>
        <w:lastRenderedPageBreak/>
        <w:t>ОГЛАВЛЕНИЕ</w:t>
      </w:r>
    </w:p>
    <w:p w14:paraId="1E396F85" w14:textId="7D9E1C3B" w:rsidR="00A03AE7" w:rsidRDefault="004F5E54">
      <w:pPr>
        <w:pStyle w:val="12"/>
        <w:tabs>
          <w:tab w:val="right" w:leader="dot" w:pos="9061"/>
        </w:tabs>
        <w:rPr>
          <w:rFonts w:ascii="Calibri" w:hAnsi="Calibri"/>
          <w:b w:val="0"/>
          <w:noProof/>
          <w:kern w:val="2"/>
          <w:sz w:val="24"/>
        </w:rPr>
      </w:pPr>
      <w:r w:rsidRPr="001267A7">
        <w:rPr>
          <w:caps/>
        </w:rPr>
        <w:fldChar w:fldCharType="begin"/>
      </w:r>
      <w:r w:rsidR="00310633" w:rsidRPr="001267A7">
        <w:rPr>
          <w:caps/>
        </w:rPr>
        <w:instrText xml:space="preserve"> TOC \o "1-5" \h \z \u </w:instrText>
      </w:r>
      <w:r w:rsidRPr="001267A7">
        <w:rPr>
          <w:caps/>
        </w:rPr>
        <w:fldChar w:fldCharType="separate"/>
      </w:r>
      <w:hyperlink w:anchor="_Toc198618841" w:history="1">
        <w:r w:rsidR="00A03AE7" w:rsidRPr="000A1A03">
          <w:rPr>
            <w:rStyle w:val="a3"/>
            <w:noProof/>
          </w:rPr>
          <w:t>Темы</w:t>
        </w:r>
        <w:r w:rsidR="00A03AE7" w:rsidRPr="000A1A03">
          <w:rPr>
            <w:rStyle w:val="a3"/>
            <w:rFonts w:ascii="Arial Rounded MT Bold" w:hAnsi="Arial Rounded MT Bold"/>
            <w:noProof/>
          </w:rPr>
          <w:t xml:space="preserve"> </w:t>
        </w:r>
        <w:r w:rsidR="00A03AE7" w:rsidRPr="000A1A03">
          <w:rPr>
            <w:rStyle w:val="a3"/>
            <w:noProof/>
          </w:rPr>
          <w:t>дня</w:t>
        </w:r>
        <w:r w:rsidR="00A03AE7">
          <w:rPr>
            <w:noProof/>
            <w:webHidden/>
          </w:rPr>
          <w:tab/>
        </w:r>
        <w:r w:rsidR="00A03AE7">
          <w:rPr>
            <w:noProof/>
            <w:webHidden/>
          </w:rPr>
          <w:fldChar w:fldCharType="begin"/>
        </w:r>
        <w:r w:rsidR="00A03AE7">
          <w:rPr>
            <w:noProof/>
            <w:webHidden/>
          </w:rPr>
          <w:instrText xml:space="preserve"> PAGEREF _Toc198618841 \h </w:instrText>
        </w:r>
        <w:r w:rsidR="00A03AE7">
          <w:rPr>
            <w:noProof/>
            <w:webHidden/>
          </w:rPr>
        </w:r>
        <w:r w:rsidR="00A03AE7">
          <w:rPr>
            <w:noProof/>
            <w:webHidden/>
          </w:rPr>
          <w:fldChar w:fldCharType="separate"/>
        </w:r>
        <w:r w:rsidR="004775B7">
          <w:rPr>
            <w:noProof/>
            <w:webHidden/>
          </w:rPr>
          <w:t>2</w:t>
        </w:r>
        <w:r w:rsidR="00A03AE7">
          <w:rPr>
            <w:noProof/>
            <w:webHidden/>
          </w:rPr>
          <w:fldChar w:fldCharType="end"/>
        </w:r>
      </w:hyperlink>
    </w:p>
    <w:p w14:paraId="1C77FEAF" w14:textId="22FC9E2E" w:rsidR="00A03AE7" w:rsidRDefault="00A03AE7">
      <w:pPr>
        <w:pStyle w:val="12"/>
        <w:tabs>
          <w:tab w:val="right" w:leader="dot" w:pos="9061"/>
        </w:tabs>
        <w:rPr>
          <w:rFonts w:ascii="Calibri" w:hAnsi="Calibri"/>
          <w:b w:val="0"/>
          <w:noProof/>
          <w:kern w:val="2"/>
          <w:sz w:val="24"/>
        </w:rPr>
      </w:pPr>
      <w:hyperlink w:anchor="_Toc198618842" w:history="1">
        <w:r w:rsidRPr="000A1A03">
          <w:rPr>
            <w:rStyle w:val="a3"/>
            <w:noProof/>
          </w:rPr>
          <w:t>Цитаты дня</w:t>
        </w:r>
        <w:r>
          <w:rPr>
            <w:noProof/>
            <w:webHidden/>
          </w:rPr>
          <w:tab/>
        </w:r>
        <w:r>
          <w:rPr>
            <w:noProof/>
            <w:webHidden/>
          </w:rPr>
          <w:fldChar w:fldCharType="begin"/>
        </w:r>
        <w:r>
          <w:rPr>
            <w:noProof/>
            <w:webHidden/>
          </w:rPr>
          <w:instrText xml:space="preserve"> PAGEREF _Toc198618842 \h </w:instrText>
        </w:r>
        <w:r>
          <w:rPr>
            <w:noProof/>
            <w:webHidden/>
          </w:rPr>
        </w:r>
        <w:r>
          <w:rPr>
            <w:noProof/>
            <w:webHidden/>
          </w:rPr>
          <w:fldChar w:fldCharType="separate"/>
        </w:r>
        <w:r w:rsidR="004775B7">
          <w:rPr>
            <w:noProof/>
            <w:webHidden/>
          </w:rPr>
          <w:t>3</w:t>
        </w:r>
        <w:r>
          <w:rPr>
            <w:noProof/>
            <w:webHidden/>
          </w:rPr>
          <w:fldChar w:fldCharType="end"/>
        </w:r>
      </w:hyperlink>
    </w:p>
    <w:p w14:paraId="42725059" w14:textId="37AE875B" w:rsidR="00A03AE7" w:rsidRDefault="00A03AE7">
      <w:pPr>
        <w:pStyle w:val="12"/>
        <w:tabs>
          <w:tab w:val="right" w:leader="dot" w:pos="9061"/>
        </w:tabs>
        <w:rPr>
          <w:rFonts w:ascii="Calibri" w:hAnsi="Calibri"/>
          <w:b w:val="0"/>
          <w:noProof/>
          <w:kern w:val="2"/>
          <w:sz w:val="24"/>
        </w:rPr>
      </w:pPr>
      <w:hyperlink w:anchor="_Toc198618843" w:history="1">
        <w:r w:rsidRPr="000A1A03">
          <w:rPr>
            <w:rStyle w:val="a3"/>
            <w:noProof/>
          </w:rPr>
          <w:t>НОВОСТИ ПЕНСИОННОЙ ОТРАСЛИ</w:t>
        </w:r>
        <w:r>
          <w:rPr>
            <w:noProof/>
            <w:webHidden/>
          </w:rPr>
          <w:tab/>
        </w:r>
        <w:r>
          <w:rPr>
            <w:noProof/>
            <w:webHidden/>
          </w:rPr>
          <w:fldChar w:fldCharType="begin"/>
        </w:r>
        <w:r>
          <w:rPr>
            <w:noProof/>
            <w:webHidden/>
          </w:rPr>
          <w:instrText xml:space="preserve"> PAGEREF _Toc198618843 \h </w:instrText>
        </w:r>
        <w:r>
          <w:rPr>
            <w:noProof/>
            <w:webHidden/>
          </w:rPr>
        </w:r>
        <w:r>
          <w:rPr>
            <w:noProof/>
            <w:webHidden/>
          </w:rPr>
          <w:fldChar w:fldCharType="separate"/>
        </w:r>
        <w:r w:rsidR="004775B7">
          <w:rPr>
            <w:noProof/>
            <w:webHidden/>
          </w:rPr>
          <w:t>15</w:t>
        </w:r>
        <w:r>
          <w:rPr>
            <w:noProof/>
            <w:webHidden/>
          </w:rPr>
          <w:fldChar w:fldCharType="end"/>
        </w:r>
      </w:hyperlink>
    </w:p>
    <w:p w14:paraId="368138D4" w14:textId="2CA17776" w:rsidR="00A03AE7" w:rsidRDefault="00A03AE7">
      <w:pPr>
        <w:pStyle w:val="12"/>
        <w:tabs>
          <w:tab w:val="right" w:leader="dot" w:pos="9061"/>
        </w:tabs>
        <w:rPr>
          <w:rFonts w:ascii="Calibri" w:hAnsi="Calibri"/>
          <w:b w:val="0"/>
          <w:noProof/>
          <w:kern w:val="2"/>
          <w:sz w:val="24"/>
        </w:rPr>
      </w:pPr>
      <w:hyperlink w:anchor="_Toc198618844" w:history="1">
        <w:r w:rsidRPr="000A1A03">
          <w:rPr>
            <w:rStyle w:val="a3"/>
            <w:noProof/>
          </w:rPr>
          <w:t>Новости отрасли НПФ</w:t>
        </w:r>
        <w:r>
          <w:rPr>
            <w:noProof/>
            <w:webHidden/>
          </w:rPr>
          <w:tab/>
        </w:r>
        <w:r>
          <w:rPr>
            <w:noProof/>
            <w:webHidden/>
          </w:rPr>
          <w:fldChar w:fldCharType="begin"/>
        </w:r>
        <w:r>
          <w:rPr>
            <w:noProof/>
            <w:webHidden/>
          </w:rPr>
          <w:instrText xml:space="preserve"> PAGEREF _Toc198618844 \h </w:instrText>
        </w:r>
        <w:r>
          <w:rPr>
            <w:noProof/>
            <w:webHidden/>
          </w:rPr>
        </w:r>
        <w:r>
          <w:rPr>
            <w:noProof/>
            <w:webHidden/>
          </w:rPr>
          <w:fldChar w:fldCharType="separate"/>
        </w:r>
        <w:r w:rsidR="004775B7">
          <w:rPr>
            <w:noProof/>
            <w:webHidden/>
          </w:rPr>
          <w:t>15</w:t>
        </w:r>
        <w:r>
          <w:rPr>
            <w:noProof/>
            <w:webHidden/>
          </w:rPr>
          <w:fldChar w:fldCharType="end"/>
        </w:r>
      </w:hyperlink>
    </w:p>
    <w:p w14:paraId="166DF655" w14:textId="0430BE07" w:rsidR="00A03AE7" w:rsidRDefault="00A03AE7">
      <w:pPr>
        <w:pStyle w:val="21"/>
        <w:tabs>
          <w:tab w:val="right" w:leader="dot" w:pos="9061"/>
        </w:tabs>
        <w:rPr>
          <w:rFonts w:ascii="Calibri" w:hAnsi="Calibri"/>
          <w:noProof/>
          <w:kern w:val="2"/>
        </w:rPr>
      </w:pPr>
      <w:hyperlink w:anchor="_Toc198618845" w:history="1">
        <w:r w:rsidRPr="000A1A03">
          <w:rPr>
            <w:rStyle w:val="a3"/>
            <w:noProof/>
          </w:rPr>
          <w:t>Конкурент, 19.05.2025, Набиуллина поставила точку в важном вопросе. На кону стоят пенсионные деньги</w:t>
        </w:r>
        <w:r>
          <w:rPr>
            <w:noProof/>
            <w:webHidden/>
          </w:rPr>
          <w:tab/>
        </w:r>
        <w:r>
          <w:rPr>
            <w:noProof/>
            <w:webHidden/>
          </w:rPr>
          <w:fldChar w:fldCharType="begin"/>
        </w:r>
        <w:r>
          <w:rPr>
            <w:noProof/>
            <w:webHidden/>
          </w:rPr>
          <w:instrText xml:space="preserve"> PAGEREF _Toc198618845 \h </w:instrText>
        </w:r>
        <w:r>
          <w:rPr>
            <w:noProof/>
            <w:webHidden/>
          </w:rPr>
        </w:r>
        <w:r>
          <w:rPr>
            <w:noProof/>
            <w:webHidden/>
          </w:rPr>
          <w:fldChar w:fldCharType="separate"/>
        </w:r>
        <w:r w:rsidR="004775B7">
          <w:rPr>
            <w:noProof/>
            <w:webHidden/>
          </w:rPr>
          <w:t>15</w:t>
        </w:r>
        <w:r>
          <w:rPr>
            <w:noProof/>
            <w:webHidden/>
          </w:rPr>
          <w:fldChar w:fldCharType="end"/>
        </w:r>
      </w:hyperlink>
    </w:p>
    <w:p w14:paraId="138FE224" w14:textId="01AD2447" w:rsidR="00A03AE7" w:rsidRDefault="00A03AE7">
      <w:pPr>
        <w:pStyle w:val="31"/>
        <w:rPr>
          <w:rFonts w:ascii="Calibri" w:hAnsi="Calibri"/>
          <w:kern w:val="2"/>
        </w:rPr>
      </w:pPr>
      <w:hyperlink w:anchor="_Toc198618846" w:history="1">
        <w:r w:rsidRPr="000A1A03">
          <w:rPr>
            <w:rStyle w:val="a3"/>
          </w:rPr>
          <w:t>Идея развивать российский фондовый рынок за счет перекладывания части рисков на будущих пенсионеров никогда не получит поддержки у Центрального банка РФ. Такое обещание во время конференции Национальной ассоциации участников фондового рынка «Российский фондовый рынок 2025» дала председатель ЦБ Эльвира Набиуллина.</w:t>
        </w:r>
        <w:r>
          <w:rPr>
            <w:webHidden/>
          </w:rPr>
          <w:tab/>
        </w:r>
        <w:r>
          <w:rPr>
            <w:webHidden/>
          </w:rPr>
          <w:fldChar w:fldCharType="begin"/>
        </w:r>
        <w:r>
          <w:rPr>
            <w:webHidden/>
          </w:rPr>
          <w:instrText xml:space="preserve"> PAGEREF _Toc198618846 \h </w:instrText>
        </w:r>
        <w:r>
          <w:rPr>
            <w:webHidden/>
          </w:rPr>
        </w:r>
        <w:r>
          <w:rPr>
            <w:webHidden/>
          </w:rPr>
          <w:fldChar w:fldCharType="separate"/>
        </w:r>
        <w:r w:rsidR="004775B7">
          <w:rPr>
            <w:webHidden/>
          </w:rPr>
          <w:t>15</w:t>
        </w:r>
        <w:r>
          <w:rPr>
            <w:webHidden/>
          </w:rPr>
          <w:fldChar w:fldCharType="end"/>
        </w:r>
      </w:hyperlink>
    </w:p>
    <w:p w14:paraId="11E32897" w14:textId="69CA6A32" w:rsidR="00A03AE7" w:rsidRDefault="00A03AE7">
      <w:pPr>
        <w:pStyle w:val="21"/>
        <w:tabs>
          <w:tab w:val="right" w:leader="dot" w:pos="9061"/>
        </w:tabs>
        <w:rPr>
          <w:rFonts w:ascii="Calibri" w:hAnsi="Calibri"/>
          <w:noProof/>
          <w:kern w:val="2"/>
        </w:rPr>
      </w:pPr>
      <w:hyperlink w:anchor="_Toc198618847" w:history="1">
        <w:r w:rsidRPr="000A1A03">
          <w:rPr>
            <w:rStyle w:val="a3"/>
            <w:noProof/>
          </w:rPr>
          <w:t>Пенсия.pro, 19.05.2025, Банк России выступил против активного вложения средств НПФ в акции</w:t>
        </w:r>
        <w:r>
          <w:rPr>
            <w:noProof/>
            <w:webHidden/>
          </w:rPr>
          <w:tab/>
        </w:r>
        <w:r>
          <w:rPr>
            <w:noProof/>
            <w:webHidden/>
          </w:rPr>
          <w:fldChar w:fldCharType="begin"/>
        </w:r>
        <w:r>
          <w:rPr>
            <w:noProof/>
            <w:webHidden/>
          </w:rPr>
          <w:instrText xml:space="preserve"> PAGEREF _Toc198618847 \h </w:instrText>
        </w:r>
        <w:r>
          <w:rPr>
            <w:noProof/>
            <w:webHidden/>
          </w:rPr>
        </w:r>
        <w:r>
          <w:rPr>
            <w:noProof/>
            <w:webHidden/>
          </w:rPr>
          <w:fldChar w:fldCharType="separate"/>
        </w:r>
        <w:r w:rsidR="004775B7">
          <w:rPr>
            <w:noProof/>
            <w:webHidden/>
          </w:rPr>
          <w:t>15</w:t>
        </w:r>
        <w:r>
          <w:rPr>
            <w:noProof/>
            <w:webHidden/>
          </w:rPr>
          <w:fldChar w:fldCharType="end"/>
        </w:r>
      </w:hyperlink>
    </w:p>
    <w:p w14:paraId="5298F475" w14:textId="104DC065" w:rsidR="00A03AE7" w:rsidRDefault="00A03AE7">
      <w:pPr>
        <w:pStyle w:val="31"/>
        <w:rPr>
          <w:rFonts w:ascii="Calibri" w:hAnsi="Calibri"/>
          <w:kern w:val="2"/>
        </w:rPr>
      </w:pPr>
      <w:hyperlink w:anchor="_Toc198618848" w:history="1">
        <w:r w:rsidRPr="000A1A03">
          <w:rPr>
            <w:rStyle w:val="a3"/>
          </w:rPr>
          <w:t>Глава Банка России Эльвира Набиуллина высказалась резко против идеи развивать фондовый рынок за счет пенсионных накоплений граждан. Это стало ответом на жалобы президента Национальной ассоциацией участников фондового рынка (НАУФОР) Алексея Тимофеева о барьерах, которые препятствуют инвестициям НПФ.</w:t>
        </w:r>
        <w:r>
          <w:rPr>
            <w:webHidden/>
          </w:rPr>
          <w:tab/>
        </w:r>
        <w:r>
          <w:rPr>
            <w:webHidden/>
          </w:rPr>
          <w:fldChar w:fldCharType="begin"/>
        </w:r>
        <w:r>
          <w:rPr>
            <w:webHidden/>
          </w:rPr>
          <w:instrText xml:space="preserve"> PAGEREF _Toc198618848 \h </w:instrText>
        </w:r>
        <w:r>
          <w:rPr>
            <w:webHidden/>
          </w:rPr>
        </w:r>
        <w:r>
          <w:rPr>
            <w:webHidden/>
          </w:rPr>
          <w:fldChar w:fldCharType="separate"/>
        </w:r>
        <w:r w:rsidR="004775B7">
          <w:rPr>
            <w:webHidden/>
          </w:rPr>
          <w:t>15</w:t>
        </w:r>
        <w:r>
          <w:rPr>
            <w:webHidden/>
          </w:rPr>
          <w:fldChar w:fldCharType="end"/>
        </w:r>
      </w:hyperlink>
    </w:p>
    <w:p w14:paraId="50E710E8" w14:textId="0C0A26EA" w:rsidR="00A03AE7" w:rsidRDefault="00A03AE7">
      <w:pPr>
        <w:pStyle w:val="21"/>
        <w:tabs>
          <w:tab w:val="right" w:leader="dot" w:pos="9061"/>
        </w:tabs>
        <w:rPr>
          <w:rFonts w:ascii="Calibri" w:hAnsi="Calibri"/>
          <w:noProof/>
          <w:kern w:val="2"/>
        </w:rPr>
      </w:pPr>
      <w:hyperlink w:anchor="_Toc198618849" w:history="1">
        <w:r w:rsidRPr="000A1A03">
          <w:rPr>
            <w:rStyle w:val="a3"/>
            <w:noProof/>
          </w:rPr>
          <w:t>AK&amp;M, 19.05.2025, Россияне ответили, изменили бы они что-то в своей жизни, если бы снова стали выпускниками</w:t>
        </w:r>
        <w:r>
          <w:rPr>
            <w:noProof/>
            <w:webHidden/>
          </w:rPr>
          <w:tab/>
        </w:r>
        <w:r>
          <w:rPr>
            <w:noProof/>
            <w:webHidden/>
          </w:rPr>
          <w:fldChar w:fldCharType="begin"/>
        </w:r>
        <w:r>
          <w:rPr>
            <w:noProof/>
            <w:webHidden/>
          </w:rPr>
          <w:instrText xml:space="preserve"> PAGEREF _Toc198618849 \h </w:instrText>
        </w:r>
        <w:r>
          <w:rPr>
            <w:noProof/>
            <w:webHidden/>
          </w:rPr>
        </w:r>
        <w:r>
          <w:rPr>
            <w:noProof/>
            <w:webHidden/>
          </w:rPr>
          <w:fldChar w:fldCharType="separate"/>
        </w:r>
        <w:r w:rsidR="004775B7">
          <w:rPr>
            <w:noProof/>
            <w:webHidden/>
          </w:rPr>
          <w:t>16</w:t>
        </w:r>
        <w:r>
          <w:rPr>
            <w:noProof/>
            <w:webHidden/>
          </w:rPr>
          <w:fldChar w:fldCharType="end"/>
        </w:r>
      </w:hyperlink>
    </w:p>
    <w:p w14:paraId="4B807D68" w14:textId="5F04ABCE" w:rsidR="00A03AE7" w:rsidRDefault="00A03AE7">
      <w:pPr>
        <w:pStyle w:val="31"/>
        <w:rPr>
          <w:rFonts w:ascii="Calibri" w:hAnsi="Calibri"/>
          <w:kern w:val="2"/>
        </w:rPr>
      </w:pPr>
      <w:hyperlink w:anchor="_Toc198618850" w:history="1">
        <w:r w:rsidRPr="000A1A03">
          <w:rPr>
            <w:rStyle w:val="a3"/>
          </w:rPr>
          <w:t>Свыше 46% россиян, если бы снова оказались выпускниками и стояли на пороге взрослой жизни, ничего не стали бы в ней менять. В то же время 15% выбрали бы другой вуз или профессию, 13% переехали в другой город, а 3% — в другую страну. Построили бы отношения с другим человеком 6% респондентов, а около 3% начали бы вести здоровый образ жизни или разумнее тратить деньги. Такие результаты были получены в результате исследования НПФ «Социум» и страховой компании «Ингосстрах».</w:t>
        </w:r>
        <w:r>
          <w:rPr>
            <w:webHidden/>
          </w:rPr>
          <w:tab/>
        </w:r>
        <w:r>
          <w:rPr>
            <w:webHidden/>
          </w:rPr>
          <w:fldChar w:fldCharType="begin"/>
        </w:r>
        <w:r>
          <w:rPr>
            <w:webHidden/>
          </w:rPr>
          <w:instrText xml:space="preserve"> PAGEREF _Toc198618850 \h </w:instrText>
        </w:r>
        <w:r>
          <w:rPr>
            <w:webHidden/>
          </w:rPr>
        </w:r>
        <w:r>
          <w:rPr>
            <w:webHidden/>
          </w:rPr>
          <w:fldChar w:fldCharType="separate"/>
        </w:r>
        <w:r w:rsidR="004775B7">
          <w:rPr>
            <w:webHidden/>
          </w:rPr>
          <w:t>16</w:t>
        </w:r>
        <w:r>
          <w:rPr>
            <w:webHidden/>
          </w:rPr>
          <w:fldChar w:fldCharType="end"/>
        </w:r>
      </w:hyperlink>
    </w:p>
    <w:p w14:paraId="1B57D28E" w14:textId="18B7DFBB" w:rsidR="00A03AE7" w:rsidRDefault="00A03AE7">
      <w:pPr>
        <w:pStyle w:val="12"/>
        <w:tabs>
          <w:tab w:val="right" w:leader="dot" w:pos="9061"/>
        </w:tabs>
        <w:rPr>
          <w:rFonts w:ascii="Calibri" w:hAnsi="Calibri"/>
          <w:b w:val="0"/>
          <w:noProof/>
          <w:kern w:val="2"/>
          <w:sz w:val="24"/>
        </w:rPr>
      </w:pPr>
      <w:hyperlink w:anchor="_Toc198618851" w:history="1">
        <w:r w:rsidRPr="000A1A03">
          <w:rPr>
            <w:rStyle w:val="a3"/>
            <w:noProof/>
          </w:rPr>
          <w:t>Программа долгосрочных сбережений</w:t>
        </w:r>
        <w:r>
          <w:rPr>
            <w:noProof/>
            <w:webHidden/>
          </w:rPr>
          <w:tab/>
        </w:r>
        <w:r>
          <w:rPr>
            <w:noProof/>
            <w:webHidden/>
          </w:rPr>
          <w:fldChar w:fldCharType="begin"/>
        </w:r>
        <w:r>
          <w:rPr>
            <w:noProof/>
            <w:webHidden/>
          </w:rPr>
          <w:instrText xml:space="preserve"> PAGEREF _Toc198618851 \h </w:instrText>
        </w:r>
        <w:r>
          <w:rPr>
            <w:noProof/>
            <w:webHidden/>
          </w:rPr>
        </w:r>
        <w:r>
          <w:rPr>
            <w:noProof/>
            <w:webHidden/>
          </w:rPr>
          <w:fldChar w:fldCharType="separate"/>
        </w:r>
        <w:r w:rsidR="004775B7">
          <w:rPr>
            <w:noProof/>
            <w:webHidden/>
          </w:rPr>
          <w:t>18</w:t>
        </w:r>
        <w:r>
          <w:rPr>
            <w:noProof/>
            <w:webHidden/>
          </w:rPr>
          <w:fldChar w:fldCharType="end"/>
        </w:r>
      </w:hyperlink>
    </w:p>
    <w:p w14:paraId="133547E9" w14:textId="0E339040" w:rsidR="00A03AE7" w:rsidRDefault="00A03AE7">
      <w:pPr>
        <w:pStyle w:val="21"/>
        <w:tabs>
          <w:tab w:val="right" w:leader="dot" w:pos="9061"/>
        </w:tabs>
        <w:rPr>
          <w:rFonts w:ascii="Calibri" w:hAnsi="Calibri"/>
          <w:noProof/>
          <w:kern w:val="2"/>
        </w:rPr>
      </w:pPr>
      <w:hyperlink w:anchor="_Toc198618852" w:history="1">
        <w:r w:rsidRPr="000A1A03">
          <w:rPr>
            <w:rStyle w:val="a3"/>
            <w:noProof/>
          </w:rPr>
          <w:t>Российская газета, 19.05.2025, Бизнес получит льготы за софинансирование пенсионных накоплений сотрудников</w:t>
        </w:r>
        <w:r>
          <w:rPr>
            <w:noProof/>
            <w:webHidden/>
          </w:rPr>
          <w:tab/>
        </w:r>
        <w:r>
          <w:rPr>
            <w:noProof/>
            <w:webHidden/>
          </w:rPr>
          <w:fldChar w:fldCharType="begin"/>
        </w:r>
        <w:r>
          <w:rPr>
            <w:noProof/>
            <w:webHidden/>
          </w:rPr>
          <w:instrText xml:space="preserve"> PAGEREF _Toc198618852 \h </w:instrText>
        </w:r>
        <w:r>
          <w:rPr>
            <w:noProof/>
            <w:webHidden/>
          </w:rPr>
        </w:r>
        <w:r>
          <w:rPr>
            <w:noProof/>
            <w:webHidden/>
          </w:rPr>
          <w:fldChar w:fldCharType="separate"/>
        </w:r>
        <w:r w:rsidR="004775B7">
          <w:rPr>
            <w:noProof/>
            <w:webHidden/>
          </w:rPr>
          <w:t>18</w:t>
        </w:r>
        <w:r>
          <w:rPr>
            <w:noProof/>
            <w:webHidden/>
          </w:rPr>
          <w:fldChar w:fldCharType="end"/>
        </w:r>
      </w:hyperlink>
    </w:p>
    <w:p w14:paraId="7E148391" w14:textId="694320A7" w:rsidR="00A03AE7" w:rsidRDefault="00A03AE7">
      <w:pPr>
        <w:pStyle w:val="31"/>
        <w:rPr>
          <w:rFonts w:ascii="Calibri" w:hAnsi="Calibri"/>
          <w:kern w:val="2"/>
        </w:rPr>
      </w:pPr>
      <w:hyperlink w:anchor="_Toc198618853" w:history="1">
        <w:r w:rsidRPr="000A1A03">
          <w:rPr>
            <w:rStyle w:val="a3"/>
          </w:rPr>
          <w:t>Речь идёт о новой мере государственной поддержки, согласно которой компании смогут учесть до 12% от фонда оплаты труда в качестве расходов, если эти средства направлены на софинансирование долгосрочных сбережений работников. Этот механизм вводится в рамках развития программы долгосрочных сбережений (ПДС), которая уже начала набирать обороты: только к весне 2025 года заключено более четырёх миллионов договоров на общую сумму около 300 млрд рублей.</w:t>
        </w:r>
        <w:r>
          <w:rPr>
            <w:webHidden/>
          </w:rPr>
          <w:tab/>
        </w:r>
        <w:r>
          <w:rPr>
            <w:webHidden/>
          </w:rPr>
          <w:fldChar w:fldCharType="begin"/>
        </w:r>
        <w:r>
          <w:rPr>
            <w:webHidden/>
          </w:rPr>
          <w:instrText xml:space="preserve"> PAGEREF _Toc198618853 \h </w:instrText>
        </w:r>
        <w:r>
          <w:rPr>
            <w:webHidden/>
          </w:rPr>
        </w:r>
        <w:r>
          <w:rPr>
            <w:webHidden/>
          </w:rPr>
          <w:fldChar w:fldCharType="separate"/>
        </w:r>
        <w:r w:rsidR="004775B7">
          <w:rPr>
            <w:webHidden/>
          </w:rPr>
          <w:t>18</w:t>
        </w:r>
        <w:r>
          <w:rPr>
            <w:webHidden/>
          </w:rPr>
          <w:fldChar w:fldCharType="end"/>
        </w:r>
      </w:hyperlink>
    </w:p>
    <w:p w14:paraId="74084E47" w14:textId="30509508" w:rsidR="00A03AE7" w:rsidRDefault="00A03AE7">
      <w:pPr>
        <w:pStyle w:val="21"/>
        <w:tabs>
          <w:tab w:val="right" w:leader="dot" w:pos="9061"/>
        </w:tabs>
        <w:rPr>
          <w:rFonts w:ascii="Calibri" w:hAnsi="Calibri"/>
          <w:noProof/>
          <w:kern w:val="2"/>
        </w:rPr>
      </w:pPr>
      <w:hyperlink w:anchor="_Toc198618854" w:history="1">
        <w:r w:rsidRPr="000A1A03">
          <w:rPr>
            <w:rStyle w:val="a3"/>
            <w:noProof/>
          </w:rPr>
          <w:t>Российская газета, 19.05.2025, Эксперт Беляков объяснил, как значительно увеличить доход на пенсии</w:t>
        </w:r>
        <w:r>
          <w:rPr>
            <w:noProof/>
            <w:webHidden/>
          </w:rPr>
          <w:tab/>
        </w:r>
        <w:r>
          <w:rPr>
            <w:noProof/>
            <w:webHidden/>
          </w:rPr>
          <w:fldChar w:fldCharType="begin"/>
        </w:r>
        <w:r>
          <w:rPr>
            <w:noProof/>
            <w:webHidden/>
          </w:rPr>
          <w:instrText xml:space="preserve"> PAGEREF _Toc198618854 \h </w:instrText>
        </w:r>
        <w:r>
          <w:rPr>
            <w:noProof/>
            <w:webHidden/>
          </w:rPr>
        </w:r>
        <w:r>
          <w:rPr>
            <w:noProof/>
            <w:webHidden/>
          </w:rPr>
          <w:fldChar w:fldCharType="separate"/>
        </w:r>
        <w:r w:rsidR="004775B7">
          <w:rPr>
            <w:noProof/>
            <w:webHidden/>
          </w:rPr>
          <w:t>19</w:t>
        </w:r>
        <w:r>
          <w:rPr>
            <w:noProof/>
            <w:webHidden/>
          </w:rPr>
          <w:fldChar w:fldCharType="end"/>
        </w:r>
      </w:hyperlink>
    </w:p>
    <w:p w14:paraId="7DAFFCB0" w14:textId="1AEAA5BD" w:rsidR="00A03AE7" w:rsidRDefault="00A03AE7">
      <w:pPr>
        <w:pStyle w:val="31"/>
        <w:rPr>
          <w:rFonts w:ascii="Calibri" w:hAnsi="Calibri"/>
          <w:kern w:val="2"/>
        </w:rPr>
      </w:pPr>
      <w:hyperlink w:anchor="_Toc198618855" w:history="1">
        <w:r w:rsidRPr="000A1A03">
          <w:rPr>
            <w:rStyle w:val="a3"/>
          </w:rPr>
          <w:t>Средний размер пенсии в России составляет 23 175 рублей. Государство придерживается ответственной социальной политики и регулярно индексирует пенсии. Но размер дохода на пенсии можно увеличить и самостоятельно, если позаботиться об этом заранее. Как это сделать, "РГ" рассказал президент Национальной ассоциации негосударственных пенсионных фондов (НАПФ) Сергей Беляков:</w:t>
        </w:r>
        <w:r>
          <w:rPr>
            <w:webHidden/>
          </w:rPr>
          <w:tab/>
        </w:r>
        <w:r>
          <w:rPr>
            <w:webHidden/>
          </w:rPr>
          <w:fldChar w:fldCharType="begin"/>
        </w:r>
        <w:r>
          <w:rPr>
            <w:webHidden/>
          </w:rPr>
          <w:instrText xml:space="preserve"> PAGEREF _Toc198618855 \h </w:instrText>
        </w:r>
        <w:r>
          <w:rPr>
            <w:webHidden/>
          </w:rPr>
        </w:r>
        <w:r>
          <w:rPr>
            <w:webHidden/>
          </w:rPr>
          <w:fldChar w:fldCharType="separate"/>
        </w:r>
        <w:r w:rsidR="004775B7">
          <w:rPr>
            <w:webHidden/>
          </w:rPr>
          <w:t>19</w:t>
        </w:r>
        <w:r>
          <w:rPr>
            <w:webHidden/>
          </w:rPr>
          <w:fldChar w:fldCharType="end"/>
        </w:r>
      </w:hyperlink>
    </w:p>
    <w:p w14:paraId="637DF8BA" w14:textId="08C74CF1" w:rsidR="00A03AE7" w:rsidRDefault="00A03AE7">
      <w:pPr>
        <w:pStyle w:val="21"/>
        <w:tabs>
          <w:tab w:val="right" w:leader="dot" w:pos="9061"/>
        </w:tabs>
        <w:rPr>
          <w:rFonts w:ascii="Calibri" w:hAnsi="Calibri"/>
          <w:noProof/>
          <w:kern w:val="2"/>
        </w:rPr>
      </w:pPr>
      <w:hyperlink w:anchor="_Toc198618856" w:history="1">
        <w:r w:rsidRPr="000A1A03">
          <w:rPr>
            <w:rStyle w:val="a3"/>
            <w:noProof/>
          </w:rPr>
          <w:t>Банковское дело, 19.05.2025, Россияне получат 21,4 млрд рублей софинансирования от государства по программе долгосрочных сбережений</w:t>
        </w:r>
        <w:r>
          <w:rPr>
            <w:noProof/>
            <w:webHidden/>
          </w:rPr>
          <w:tab/>
        </w:r>
        <w:r>
          <w:rPr>
            <w:noProof/>
            <w:webHidden/>
          </w:rPr>
          <w:fldChar w:fldCharType="begin"/>
        </w:r>
        <w:r>
          <w:rPr>
            <w:noProof/>
            <w:webHidden/>
          </w:rPr>
          <w:instrText xml:space="preserve"> PAGEREF _Toc198618856 \h </w:instrText>
        </w:r>
        <w:r>
          <w:rPr>
            <w:noProof/>
            <w:webHidden/>
          </w:rPr>
        </w:r>
        <w:r>
          <w:rPr>
            <w:noProof/>
            <w:webHidden/>
          </w:rPr>
          <w:fldChar w:fldCharType="separate"/>
        </w:r>
        <w:r w:rsidR="004775B7">
          <w:rPr>
            <w:noProof/>
            <w:webHidden/>
          </w:rPr>
          <w:t>21</w:t>
        </w:r>
        <w:r>
          <w:rPr>
            <w:noProof/>
            <w:webHidden/>
          </w:rPr>
          <w:fldChar w:fldCharType="end"/>
        </w:r>
      </w:hyperlink>
    </w:p>
    <w:p w14:paraId="72BBDD18" w14:textId="77FEA4D9" w:rsidR="00A03AE7" w:rsidRDefault="00A03AE7">
      <w:pPr>
        <w:pStyle w:val="31"/>
        <w:rPr>
          <w:rFonts w:ascii="Calibri" w:hAnsi="Calibri"/>
          <w:kern w:val="2"/>
        </w:rPr>
      </w:pPr>
      <w:hyperlink w:anchor="_Toc198618857" w:history="1">
        <w:r w:rsidRPr="000A1A03">
          <w:rPr>
            <w:rStyle w:val="a3"/>
          </w:rPr>
          <w:t>В 2025 году государство впервые начислит софинансирование на взносы, сделанные россиянами в рамках программы долгосрочных сбережений (ПДС) в прошлом году. Планируемая сумма поступлений - 21,4 млрд рублей, следует из обзора Банка России ключевых показателей негосударственных пенсионных фондов (НПФ) за IV квартал 2024, проанализированного СберНПФ.</w:t>
        </w:r>
        <w:r>
          <w:rPr>
            <w:webHidden/>
          </w:rPr>
          <w:tab/>
        </w:r>
        <w:r>
          <w:rPr>
            <w:webHidden/>
          </w:rPr>
          <w:fldChar w:fldCharType="begin"/>
        </w:r>
        <w:r>
          <w:rPr>
            <w:webHidden/>
          </w:rPr>
          <w:instrText xml:space="preserve"> PAGEREF _Toc198618857 \h </w:instrText>
        </w:r>
        <w:r>
          <w:rPr>
            <w:webHidden/>
          </w:rPr>
        </w:r>
        <w:r>
          <w:rPr>
            <w:webHidden/>
          </w:rPr>
          <w:fldChar w:fldCharType="separate"/>
        </w:r>
        <w:r w:rsidR="004775B7">
          <w:rPr>
            <w:webHidden/>
          </w:rPr>
          <w:t>21</w:t>
        </w:r>
        <w:r>
          <w:rPr>
            <w:webHidden/>
          </w:rPr>
          <w:fldChar w:fldCharType="end"/>
        </w:r>
      </w:hyperlink>
    </w:p>
    <w:p w14:paraId="2C1DE6A5" w14:textId="4CD1519B" w:rsidR="00A03AE7" w:rsidRDefault="00A03AE7">
      <w:pPr>
        <w:pStyle w:val="21"/>
        <w:tabs>
          <w:tab w:val="right" w:leader="dot" w:pos="9061"/>
        </w:tabs>
        <w:rPr>
          <w:rFonts w:ascii="Calibri" w:hAnsi="Calibri"/>
          <w:noProof/>
          <w:kern w:val="2"/>
        </w:rPr>
      </w:pPr>
      <w:hyperlink w:anchor="_Toc198618858" w:history="1">
        <w:r w:rsidRPr="000A1A03">
          <w:rPr>
            <w:rStyle w:val="a3"/>
            <w:noProof/>
          </w:rPr>
          <w:t>Агентство страховых новостей, 19.05.2025, Правительство внесло в Госдуму проект поправок в НК РФ о льготах по программам долгосрочных сбережений</w:t>
        </w:r>
        <w:r>
          <w:rPr>
            <w:noProof/>
            <w:webHidden/>
          </w:rPr>
          <w:tab/>
        </w:r>
        <w:r>
          <w:rPr>
            <w:noProof/>
            <w:webHidden/>
          </w:rPr>
          <w:fldChar w:fldCharType="begin"/>
        </w:r>
        <w:r>
          <w:rPr>
            <w:noProof/>
            <w:webHidden/>
          </w:rPr>
          <w:instrText xml:space="preserve"> PAGEREF _Toc198618858 \h </w:instrText>
        </w:r>
        <w:r>
          <w:rPr>
            <w:noProof/>
            <w:webHidden/>
          </w:rPr>
        </w:r>
        <w:r>
          <w:rPr>
            <w:noProof/>
            <w:webHidden/>
          </w:rPr>
          <w:fldChar w:fldCharType="separate"/>
        </w:r>
        <w:r w:rsidR="004775B7">
          <w:rPr>
            <w:noProof/>
            <w:webHidden/>
          </w:rPr>
          <w:t>22</w:t>
        </w:r>
        <w:r>
          <w:rPr>
            <w:noProof/>
            <w:webHidden/>
          </w:rPr>
          <w:fldChar w:fldCharType="end"/>
        </w:r>
      </w:hyperlink>
    </w:p>
    <w:p w14:paraId="12260469" w14:textId="19096EF7" w:rsidR="00A03AE7" w:rsidRDefault="00A03AE7">
      <w:pPr>
        <w:pStyle w:val="31"/>
        <w:rPr>
          <w:rFonts w:ascii="Calibri" w:hAnsi="Calibri"/>
          <w:kern w:val="2"/>
        </w:rPr>
      </w:pPr>
      <w:hyperlink w:anchor="_Toc198618859" w:history="1">
        <w:r w:rsidRPr="000A1A03">
          <w:rPr>
            <w:rStyle w:val="a3"/>
          </w:rPr>
          <w:t>Правительство внесло в Госдуму законопроект (N919131-80) с поправками в Налоговый кодекс (НК) РФ, касающимися порядка налогообложения договоров долгосрочных сбережений. Документ опубликован в электронной базе данных парламента в пятницу.</w:t>
        </w:r>
        <w:r>
          <w:rPr>
            <w:webHidden/>
          </w:rPr>
          <w:tab/>
        </w:r>
        <w:r>
          <w:rPr>
            <w:webHidden/>
          </w:rPr>
          <w:fldChar w:fldCharType="begin"/>
        </w:r>
        <w:r>
          <w:rPr>
            <w:webHidden/>
          </w:rPr>
          <w:instrText xml:space="preserve"> PAGEREF _Toc198618859 \h </w:instrText>
        </w:r>
        <w:r>
          <w:rPr>
            <w:webHidden/>
          </w:rPr>
        </w:r>
        <w:r>
          <w:rPr>
            <w:webHidden/>
          </w:rPr>
          <w:fldChar w:fldCharType="separate"/>
        </w:r>
        <w:r w:rsidR="004775B7">
          <w:rPr>
            <w:webHidden/>
          </w:rPr>
          <w:t>22</w:t>
        </w:r>
        <w:r>
          <w:rPr>
            <w:webHidden/>
          </w:rPr>
          <w:fldChar w:fldCharType="end"/>
        </w:r>
      </w:hyperlink>
    </w:p>
    <w:p w14:paraId="5783FA06" w14:textId="0E085AA3" w:rsidR="00A03AE7" w:rsidRDefault="00A03AE7">
      <w:pPr>
        <w:pStyle w:val="21"/>
        <w:tabs>
          <w:tab w:val="right" w:leader="dot" w:pos="9061"/>
        </w:tabs>
        <w:rPr>
          <w:rFonts w:ascii="Calibri" w:hAnsi="Calibri"/>
          <w:noProof/>
          <w:kern w:val="2"/>
        </w:rPr>
      </w:pPr>
      <w:hyperlink w:anchor="_Toc198618860" w:history="1">
        <w:r w:rsidRPr="000A1A03">
          <w:rPr>
            <w:rStyle w:val="a3"/>
            <w:noProof/>
          </w:rPr>
          <w:t>Главбух.ру, 19.05.2025, Налоговые льготы для работодателей: поддержка долгосрочных сбережений</w:t>
        </w:r>
        <w:r>
          <w:rPr>
            <w:noProof/>
            <w:webHidden/>
          </w:rPr>
          <w:tab/>
        </w:r>
        <w:r>
          <w:rPr>
            <w:noProof/>
            <w:webHidden/>
          </w:rPr>
          <w:fldChar w:fldCharType="begin"/>
        </w:r>
        <w:r>
          <w:rPr>
            <w:noProof/>
            <w:webHidden/>
          </w:rPr>
          <w:instrText xml:space="preserve"> PAGEREF _Toc198618860 \h </w:instrText>
        </w:r>
        <w:r>
          <w:rPr>
            <w:noProof/>
            <w:webHidden/>
          </w:rPr>
        </w:r>
        <w:r>
          <w:rPr>
            <w:noProof/>
            <w:webHidden/>
          </w:rPr>
          <w:fldChar w:fldCharType="separate"/>
        </w:r>
        <w:r w:rsidR="004775B7">
          <w:rPr>
            <w:noProof/>
            <w:webHidden/>
          </w:rPr>
          <w:t>24</w:t>
        </w:r>
        <w:r>
          <w:rPr>
            <w:noProof/>
            <w:webHidden/>
          </w:rPr>
          <w:fldChar w:fldCharType="end"/>
        </w:r>
      </w:hyperlink>
    </w:p>
    <w:p w14:paraId="7D1B95C3" w14:textId="4EE627AA" w:rsidR="00A03AE7" w:rsidRDefault="00A03AE7">
      <w:pPr>
        <w:pStyle w:val="31"/>
        <w:rPr>
          <w:rFonts w:ascii="Calibri" w:hAnsi="Calibri"/>
          <w:kern w:val="2"/>
        </w:rPr>
      </w:pPr>
      <w:hyperlink w:anchor="_Toc198618861" w:history="1">
        <w:r w:rsidRPr="000A1A03">
          <w:rPr>
            <w:rStyle w:val="a3"/>
          </w:rPr>
          <w:t>Минфин разработал налоговые поправки, нацеленные на улучшение системы долгосрочных накоплений. Подробная информация опубликована на сайте ведомства.</w:t>
        </w:r>
        <w:r>
          <w:rPr>
            <w:webHidden/>
          </w:rPr>
          <w:tab/>
        </w:r>
        <w:r>
          <w:rPr>
            <w:webHidden/>
          </w:rPr>
          <w:fldChar w:fldCharType="begin"/>
        </w:r>
        <w:r>
          <w:rPr>
            <w:webHidden/>
          </w:rPr>
          <w:instrText xml:space="preserve"> PAGEREF _Toc198618861 \h </w:instrText>
        </w:r>
        <w:r>
          <w:rPr>
            <w:webHidden/>
          </w:rPr>
        </w:r>
        <w:r>
          <w:rPr>
            <w:webHidden/>
          </w:rPr>
          <w:fldChar w:fldCharType="separate"/>
        </w:r>
        <w:r w:rsidR="004775B7">
          <w:rPr>
            <w:webHidden/>
          </w:rPr>
          <w:t>24</w:t>
        </w:r>
        <w:r>
          <w:rPr>
            <w:webHidden/>
          </w:rPr>
          <w:fldChar w:fldCharType="end"/>
        </w:r>
      </w:hyperlink>
    </w:p>
    <w:p w14:paraId="264D5506" w14:textId="1D4397E1" w:rsidR="00A03AE7" w:rsidRDefault="00A03AE7">
      <w:pPr>
        <w:pStyle w:val="21"/>
        <w:tabs>
          <w:tab w:val="right" w:leader="dot" w:pos="9061"/>
        </w:tabs>
        <w:rPr>
          <w:rFonts w:ascii="Calibri" w:hAnsi="Calibri"/>
          <w:noProof/>
          <w:kern w:val="2"/>
        </w:rPr>
      </w:pPr>
      <w:hyperlink w:anchor="_Toc198618862" w:history="1">
        <w:r w:rsidRPr="000A1A03">
          <w:rPr>
            <w:rStyle w:val="a3"/>
            <w:noProof/>
          </w:rPr>
          <w:t>Финансы Mail, 19.05.2025, Правительство не планирует направлять маткапитал на программу долгосрочных сбережений</w:t>
        </w:r>
        <w:r>
          <w:rPr>
            <w:noProof/>
            <w:webHidden/>
          </w:rPr>
          <w:tab/>
        </w:r>
        <w:r>
          <w:rPr>
            <w:noProof/>
            <w:webHidden/>
          </w:rPr>
          <w:fldChar w:fldCharType="begin"/>
        </w:r>
        <w:r>
          <w:rPr>
            <w:noProof/>
            <w:webHidden/>
          </w:rPr>
          <w:instrText xml:space="preserve"> PAGEREF _Toc198618862 \h </w:instrText>
        </w:r>
        <w:r>
          <w:rPr>
            <w:noProof/>
            <w:webHidden/>
          </w:rPr>
        </w:r>
        <w:r>
          <w:rPr>
            <w:noProof/>
            <w:webHidden/>
          </w:rPr>
          <w:fldChar w:fldCharType="separate"/>
        </w:r>
        <w:r w:rsidR="004775B7">
          <w:rPr>
            <w:noProof/>
            <w:webHidden/>
          </w:rPr>
          <w:t>25</w:t>
        </w:r>
        <w:r>
          <w:rPr>
            <w:noProof/>
            <w:webHidden/>
          </w:rPr>
          <w:fldChar w:fldCharType="end"/>
        </w:r>
      </w:hyperlink>
    </w:p>
    <w:p w14:paraId="7FC39254" w14:textId="6B06DF21" w:rsidR="00A03AE7" w:rsidRDefault="00A03AE7">
      <w:pPr>
        <w:pStyle w:val="31"/>
        <w:rPr>
          <w:rFonts w:ascii="Calibri" w:hAnsi="Calibri"/>
          <w:kern w:val="2"/>
        </w:rPr>
      </w:pPr>
      <w:hyperlink w:anchor="_Toc198618863" w:history="1">
        <w:r w:rsidRPr="000A1A03">
          <w:rPr>
            <w:rStyle w:val="a3"/>
          </w:rPr>
          <w:t>Кабмин не намерен направлять средства материнского капитала на программу долгосрочных сбережений. Об этом ТАСС сообщила вице-премьер РФ Татьяна Голикова.</w:t>
        </w:r>
        <w:r>
          <w:rPr>
            <w:webHidden/>
          </w:rPr>
          <w:tab/>
        </w:r>
        <w:r>
          <w:rPr>
            <w:webHidden/>
          </w:rPr>
          <w:fldChar w:fldCharType="begin"/>
        </w:r>
        <w:r>
          <w:rPr>
            <w:webHidden/>
          </w:rPr>
          <w:instrText xml:space="preserve"> PAGEREF _Toc198618863 \h </w:instrText>
        </w:r>
        <w:r>
          <w:rPr>
            <w:webHidden/>
          </w:rPr>
        </w:r>
        <w:r>
          <w:rPr>
            <w:webHidden/>
          </w:rPr>
          <w:fldChar w:fldCharType="separate"/>
        </w:r>
        <w:r w:rsidR="004775B7">
          <w:rPr>
            <w:webHidden/>
          </w:rPr>
          <w:t>25</w:t>
        </w:r>
        <w:r>
          <w:rPr>
            <w:webHidden/>
          </w:rPr>
          <w:fldChar w:fldCharType="end"/>
        </w:r>
      </w:hyperlink>
    </w:p>
    <w:p w14:paraId="0CD1A7D7" w14:textId="1476829B" w:rsidR="00A03AE7" w:rsidRDefault="00A03AE7">
      <w:pPr>
        <w:pStyle w:val="21"/>
        <w:tabs>
          <w:tab w:val="right" w:leader="dot" w:pos="9061"/>
        </w:tabs>
        <w:rPr>
          <w:rFonts w:ascii="Calibri" w:hAnsi="Calibri"/>
          <w:noProof/>
          <w:kern w:val="2"/>
        </w:rPr>
      </w:pPr>
      <w:hyperlink w:anchor="_Toc198618864" w:history="1">
        <w:r w:rsidRPr="000A1A03">
          <w:rPr>
            <w:rStyle w:val="a3"/>
            <w:noProof/>
          </w:rPr>
          <w:t>Брянская улица, 19.05.2025, Среди брянцев набирает популярность программа долгосрочных сбережений</w:t>
        </w:r>
        <w:r>
          <w:rPr>
            <w:noProof/>
            <w:webHidden/>
          </w:rPr>
          <w:tab/>
        </w:r>
        <w:r>
          <w:rPr>
            <w:noProof/>
            <w:webHidden/>
          </w:rPr>
          <w:fldChar w:fldCharType="begin"/>
        </w:r>
        <w:r>
          <w:rPr>
            <w:noProof/>
            <w:webHidden/>
          </w:rPr>
          <w:instrText xml:space="preserve"> PAGEREF _Toc198618864 \h </w:instrText>
        </w:r>
        <w:r>
          <w:rPr>
            <w:noProof/>
            <w:webHidden/>
          </w:rPr>
        </w:r>
        <w:r>
          <w:rPr>
            <w:noProof/>
            <w:webHidden/>
          </w:rPr>
          <w:fldChar w:fldCharType="separate"/>
        </w:r>
        <w:r w:rsidR="004775B7">
          <w:rPr>
            <w:noProof/>
            <w:webHidden/>
          </w:rPr>
          <w:t>25</w:t>
        </w:r>
        <w:r>
          <w:rPr>
            <w:noProof/>
            <w:webHidden/>
          </w:rPr>
          <w:fldChar w:fldCharType="end"/>
        </w:r>
      </w:hyperlink>
    </w:p>
    <w:p w14:paraId="62209861" w14:textId="5A4988BC" w:rsidR="00A03AE7" w:rsidRDefault="00A03AE7">
      <w:pPr>
        <w:pStyle w:val="31"/>
        <w:rPr>
          <w:rFonts w:ascii="Calibri" w:hAnsi="Calibri"/>
          <w:kern w:val="2"/>
        </w:rPr>
      </w:pPr>
      <w:hyperlink w:anchor="_Toc198618865" w:history="1">
        <w:r w:rsidRPr="000A1A03">
          <w:rPr>
            <w:rStyle w:val="a3"/>
          </w:rPr>
          <w:t>За первые три месяца 2025 года к программе присоединились еще 11,5 тысяч брянцев, вложив 187 миллионов рублей.</w:t>
        </w:r>
        <w:r>
          <w:rPr>
            <w:webHidden/>
          </w:rPr>
          <w:tab/>
        </w:r>
        <w:r>
          <w:rPr>
            <w:webHidden/>
          </w:rPr>
          <w:fldChar w:fldCharType="begin"/>
        </w:r>
        <w:r>
          <w:rPr>
            <w:webHidden/>
          </w:rPr>
          <w:instrText xml:space="preserve"> PAGEREF _Toc198618865 \h </w:instrText>
        </w:r>
        <w:r>
          <w:rPr>
            <w:webHidden/>
          </w:rPr>
        </w:r>
        <w:r>
          <w:rPr>
            <w:webHidden/>
          </w:rPr>
          <w:fldChar w:fldCharType="separate"/>
        </w:r>
        <w:r w:rsidR="004775B7">
          <w:rPr>
            <w:webHidden/>
          </w:rPr>
          <w:t>25</w:t>
        </w:r>
        <w:r>
          <w:rPr>
            <w:webHidden/>
          </w:rPr>
          <w:fldChar w:fldCharType="end"/>
        </w:r>
      </w:hyperlink>
    </w:p>
    <w:p w14:paraId="1782A0B3" w14:textId="37C42693" w:rsidR="00A03AE7" w:rsidRDefault="00A03AE7">
      <w:pPr>
        <w:pStyle w:val="21"/>
        <w:tabs>
          <w:tab w:val="right" w:leader="dot" w:pos="9061"/>
        </w:tabs>
        <w:rPr>
          <w:rFonts w:ascii="Calibri" w:hAnsi="Calibri"/>
          <w:noProof/>
          <w:kern w:val="2"/>
        </w:rPr>
      </w:pPr>
      <w:hyperlink w:anchor="_Toc198618866" w:history="1">
        <w:r w:rsidRPr="000A1A03">
          <w:rPr>
            <w:rStyle w:val="a3"/>
            <w:noProof/>
          </w:rPr>
          <w:t>rk.karelia.ru, 17.05.2025, Жителям Карелии объяснили, как делать долгосрочные сбережения по новому закону</w:t>
        </w:r>
        <w:r>
          <w:rPr>
            <w:noProof/>
            <w:webHidden/>
          </w:rPr>
          <w:tab/>
        </w:r>
        <w:r>
          <w:rPr>
            <w:noProof/>
            <w:webHidden/>
          </w:rPr>
          <w:fldChar w:fldCharType="begin"/>
        </w:r>
        <w:r>
          <w:rPr>
            <w:noProof/>
            <w:webHidden/>
          </w:rPr>
          <w:instrText xml:space="preserve"> PAGEREF _Toc198618866 \h </w:instrText>
        </w:r>
        <w:r>
          <w:rPr>
            <w:noProof/>
            <w:webHidden/>
          </w:rPr>
        </w:r>
        <w:r>
          <w:rPr>
            <w:noProof/>
            <w:webHidden/>
          </w:rPr>
          <w:fldChar w:fldCharType="separate"/>
        </w:r>
        <w:r w:rsidR="004775B7">
          <w:rPr>
            <w:noProof/>
            <w:webHidden/>
          </w:rPr>
          <w:t>26</w:t>
        </w:r>
        <w:r>
          <w:rPr>
            <w:noProof/>
            <w:webHidden/>
          </w:rPr>
          <w:fldChar w:fldCharType="end"/>
        </w:r>
      </w:hyperlink>
    </w:p>
    <w:p w14:paraId="095BB63E" w14:textId="14B3CC2B" w:rsidR="00A03AE7" w:rsidRDefault="00A03AE7">
      <w:pPr>
        <w:pStyle w:val="31"/>
        <w:rPr>
          <w:rFonts w:ascii="Calibri" w:hAnsi="Calibri"/>
          <w:kern w:val="2"/>
        </w:rPr>
      </w:pPr>
      <w:hyperlink w:anchor="_Toc198618867" w:history="1">
        <w:r w:rsidRPr="000A1A03">
          <w:rPr>
            <w:rStyle w:val="a3"/>
          </w:rPr>
          <w:t>Сейчас, чтобы заключить договор на участие в программе долгосрочных сбережений, необходимо обращаться в негосударственный пенсионный фонд. С 1 октября оформить договор можно будет на портале «Госуслуги».</w:t>
        </w:r>
        <w:r>
          <w:rPr>
            <w:webHidden/>
          </w:rPr>
          <w:tab/>
        </w:r>
        <w:r>
          <w:rPr>
            <w:webHidden/>
          </w:rPr>
          <w:fldChar w:fldCharType="begin"/>
        </w:r>
        <w:r>
          <w:rPr>
            <w:webHidden/>
          </w:rPr>
          <w:instrText xml:space="preserve"> PAGEREF _Toc198618867 \h </w:instrText>
        </w:r>
        <w:r>
          <w:rPr>
            <w:webHidden/>
          </w:rPr>
        </w:r>
        <w:r>
          <w:rPr>
            <w:webHidden/>
          </w:rPr>
          <w:fldChar w:fldCharType="separate"/>
        </w:r>
        <w:r w:rsidR="004775B7">
          <w:rPr>
            <w:webHidden/>
          </w:rPr>
          <w:t>26</w:t>
        </w:r>
        <w:r>
          <w:rPr>
            <w:webHidden/>
          </w:rPr>
          <w:fldChar w:fldCharType="end"/>
        </w:r>
      </w:hyperlink>
    </w:p>
    <w:p w14:paraId="1E6B1961" w14:textId="7B9AAA21" w:rsidR="00A03AE7" w:rsidRDefault="00A03AE7">
      <w:pPr>
        <w:pStyle w:val="21"/>
        <w:tabs>
          <w:tab w:val="right" w:leader="dot" w:pos="9061"/>
        </w:tabs>
        <w:rPr>
          <w:rFonts w:ascii="Calibri" w:hAnsi="Calibri"/>
          <w:noProof/>
          <w:kern w:val="2"/>
        </w:rPr>
      </w:pPr>
      <w:hyperlink w:anchor="_Toc198618868" w:history="1">
        <w:r w:rsidRPr="000A1A03">
          <w:rPr>
            <w:rStyle w:val="a3"/>
            <w:noProof/>
          </w:rPr>
          <w:t>Regions.ru, 19.05.2025, В Одинцове дали старт семейному фестивалю финансовой грамотности</w:t>
        </w:r>
        <w:r>
          <w:rPr>
            <w:noProof/>
            <w:webHidden/>
          </w:rPr>
          <w:tab/>
        </w:r>
        <w:r>
          <w:rPr>
            <w:noProof/>
            <w:webHidden/>
          </w:rPr>
          <w:fldChar w:fldCharType="begin"/>
        </w:r>
        <w:r>
          <w:rPr>
            <w:noProof/>
            <w:webHidden/>
          </w:rPr>
          <w:instrText xml:space="preserve"> PAGEREF _Toc198618868 \h </w:instrText>
        </w:r>
        <w:r>
          <w:rPr>
            <w:noProof/>
            <w:webHidden/>
          </w:rPr>
        </w:r>
        <w:r>
          <w:rPr>
            <w:noProof/>
            <w:webHidden/>
          </w:rPr>
          <w:fldChar w:fldCharType="separate"/>
        </w:r>
        <w:r w:rsidR="004775B7">
          <w:rPr>
            <w:noProof/>
            <w:webHidden/>
          </w:rPr>
          <w:t>27</w:t>
        </w:r>
        <w:r>
          <w:rPr>
            <w:noProof/>
            <w:webHidden/>
          </w:rPr>
          <w:fldChar w:fldCharType="end"/>
        </w:r>
      </w:hyperlink>
    </w:p>
    <w:p w14:paraId="0DB96234" w14:textId="2C59CED8" w:rsidR="00A03AE7" w:rsidRDefault="00A03AE7">
      <w:pPr>
        <w:pStyle w:val="31"/>
        <w:rPr>
          <w:rFonts w:ascii="Calibri" w:hAnsi="Calibri"/>
          <w:kern w:val="2"/>
        </w:rPr>
      </w:pPr>
      <w:hyperlink w:anchor="_Toc198618869" w:history="1">
        <w:r w:rsidRPr="000A1A03">
          <w:rPr>
            <w:rStyle w:val="a3"/>
          </w:rPr>
          <w:t>Одинцовский городской округ первым в Московской области принял муниципальный этап II Всероссийского семейного фестиваля сбережений и инвестиций. Об этом сообщили в администрации муниципалитета.</w:t>
        </w:r>
        <w:r>
          <w:rPr>
            <w:webHidden/>
          </w:rPr>
          <w:tab/>
        </w:r>
        <w:r>
          <w:rPr>
            <w:webHidden/>
          </w:rPr>
          <w:fldChar w:fldCharType="begin"/>
        </w:r>
        <w:r>
          <w:rPr>
            <w:webHidden/>
          </w:rPr>
          <w:instrText xml:space="preserve"> PAGEREF _Toc198618869 \h </w:instrText>
        </w:r>
        <w:r>
          <w:rPr>
            <w:webHidden/>
          </w:rPr>
        </w:r>
        <w:r>
          <w:rPr>
            <w:webHidden/>
          </w:rPr>
          <w:fldChar w:fldCharType="separate"/>
        </w:r>
        <w:r w:rsidR="004775B7">
          <w:rPr>
            <w:webHidden/>
          </w:rPr>
          <w:t>27</w:t>
        </w:r>
        <w:r>
          <w:rPr>
            <w:webHidden/>
          </w:rPr>
          <w:fldChar w:fldCharType="end"/>
        </w:r>
      </w:hyperlink>
    </w:p>
    <w:p w14:paraId="1BF90EB4" w14:textId="7E19304A" w:rsidR="00A03AE7" w:rsidRDefault="00A03AE7">
      <w:pPr>
        <w:pStyle w:val="12"/>
        <w:tabs>
          <w:tab w:val="right" w:leader="dot" w:pos="9061"/>
        </w:tabs>
        <w:rPr>
          <w:rFonts w:ascii="Calibri" w:hAnsi="Calibri"/>
          <w:b w:val="0"/>
          <w:noProof/>
          <w:kern w:val="2"/>
          <w:sz w:val="24"/>
        </w:rPr>
      </w:pPr>
      <w:hyperlink w:anchor="_Toc198618870" w:history="1">
        <w:r w:rsidRPr="000A1A03">
          <w:rPr>
            <w:rStyle w:val="a3"/>
            <w:noProof/>
          </w:rPr>
          <w:t>Новости развития системы обязательного пенсионного страхования и страховой пенсии</w:t>
        </w:r>
        <w:r>
          <w:rPr>
            <w:noProof/>
            <w:webHidden/>
          </w:rPr>
          <w:tab/>
        </w:r>
        <w:r>
          <w:rPr>
            <w:noProof/>
            <w:webHidden/>
          </w:rPr>
          <w:fldChar w:fldCharType="begin"/>
        </w:r>
        <w:r>
          <w:rPr>
            <w:noProof/>
            <w:webHidden/>
          </w:rPr>
          <w:instrText xml:space="preserve"> PAGEREF _Toc198618870 \h </w:instrText>
        </w:r>
        <w:r>
          <w:rPr>
            <w:noProof/>
            <w:webHidden/>
          </w:rPr>
        </w:r>
        <w:r>
          <w:rPr>
            <w:noProof/>
            <w:webHidden/>
          </w:rPr>
          <w:fldChar w:fldCharType="separate"/>
        </w:r>
        <w:r w:rsidR="004775B7">
          <w:rPr>
            <w:noProof/>
            <w:webHidden/>
          </w:rPr>
          <w:t>28</w:t>
        </w:r>
        <w:r>
          <w:rPr>
            <w:noProof/>
            <w:webHidden/>
          </w:rPr>
          <w:fldChar w:fldCharType="end"/>
        </w:r>
      </w:hyperlink>
    </w:p>
    <w:p w14:paraId="3CB5D081" w14:textId="6D4C4CF3" w:rsidR="00A03AE7" w:rsidRDefault="00A03AE7">
      <w:pPr>
        <w:pStyle w:val="21"/>
        <w:tabs>
          <w:tab w:val="right" w:leader="dot" w:pos="9061"/>
        </w:tabs>
        <w:rPr>
          <w:rFonts w:ascii="Calibri" w:hAnsi="Calibri"/>
          <w:noProof/>
          <w:kern w:val="2"/>
        </w:rPr>
      </w:pPr>
      <w:hyperlink w:anchor="_Toc198618871" w:history="1">
        <w:r w:rsidRPr="000A1A03">
          <w:rPr>
            <w:rStyle w:val="a3"/>
            <w:noProof/>
          </w:rPr>
          <w:t>Известия, 19.05.2025, Пойти в разрыв: средние выплаты работающим пенсионерам выросли на 150 рублей</w:t>
        </w:r>
        <w:r>
          <w:rPr>
            <w:noProof/>
            <w:webHidden/>
          </w:rPr>
          <w:tab/>
        </w:r>
        <w:r>
          <w:rPr>
            <w:noProof/>
            <w:webHidden/>
          </w:rPr>
          <w:fldChar w:fldCharType="begin"/>
        </w:r>
        <w:r>
          <w:rPr>
            <w:noProof/>
            <w:webHidden/>
          </w:rPr>
          <w:instrText xml:space="preserve"> PAGEREF _Toc198618871 \h </w:instrText>
        </w:r>
        <w:r>
          <w:rPr>
            <w:noProof/>
            <w:webHidden/>
          </w:rPr>
        </w:r>
        <w:r>
          <w:rPr>
            <w:noProof/>
            <w:webHidden/>
          </w:rPr>
          <w:fldChar w:fldCharType="separate"/>
        </w:r>
        <w:r w:rsidR="004775B7">
          <w:rPr>
            <w:noProof/>
            <w:webHidden/>
          </w:rPr>
          <w:t>28</w:t>
        </w:r>
        <w:r>
          <w:rPr>
            <w:noProof/>
            <w:webHidden/>
          </w:rPr>
          <w:fldChar w:fldCharType="end"/>
        </w:r>
      </w:hyperlink>
    </w:p>
    <w:p w14:paraId="260CB8C9" w14:textId="267FC04C" w:rsidR="00A03AE7" w:rsidRDefault="00A03AE7">
      <w:pPr>
        <w:pStyle w:val="31"/>
        <w:rPr>
          <w:rFonts w:ascii="Calibri" w:hAnsi="Calibri"/>
          <w:kern w:val="2"/>
        </w:rPr>
      </w:pPr>
      <w:hyperlink w:anchor="_Toc198618872" w:history="1">
        <w:r w:rsidRPr="000A1A03">
          <w:rPr>
            <w:rStyle w:val="a3"/>
          </w:rPr>
          <w:t>Средняя страховая пенсия по старости для работающих пенсионеров за первые три месяца этого года выросла на 150 рублей, до 22 тыс., выяснили «Известия». Это первые результаты индексации, которую возобновили с 2025-го. При этом годом ранее средние начисления росли даже быстрее. Кроме того, разрыв между господдержкой трудящихся и незанятых граждан всё еще достаточно большой. И чтобы сохранить достойный уровень жизни пожилым людям, все же выгоднее продолжать работать, так как пенсии не позволяют в достаточной мере компенсировать утраченный заработок. Как копить на старость и каким образом государство старается улучшить этот механизм - в материале «Известий».</w:t>
        </w:r>
        <w:r>
          <w:rPr>
            <w:webHidden/>
          </w:rPr>
          <w:tab/>
        </w:r>
        <w:r>
          <w:rPr>
            <w:webHidden/>
          </w:rPr>
          <w:fldChar w:fldCharType="begin"/>
        </w:r>
        <w:r>
          <w:rPr>
            <w:webHidden/>
          </w:rPr>
          <w:instrText xml:space="preserve"> PAGEREF _Toc198618872 \h </w:instrText>
        </w:r>
        <w:r>
          <w:rPr>
            <w:webHidden/>
          </w:rPr>
        </w:r>
        <w:r>
          <w:rPr>
            <w:webHidden/>
          </w:rPr>
          <w:fldChar w:fldCharType="separate"/>
        </w:r>
        <w:r w:rsidR="004775B7">
          <w:rPr>
            <w:webHidden/>
          </w:rPr>
          <w:t>28</w:t>
        </w:r>
        <w:r>
          <w:rPr>
            <w:webHidden/>
          </w:rPr>
          <w:fldChar w:fldCharType="end"/>
        </w:r>
      </w:hyperlink>
    </w:p>
    <w:p w14:paraId="5119BB47" w14:textId="555BA9B8" w:rsidR="00A03AE7" w:rsidRDefault="00A03AE7">
      <w:pPr>
        <w:pStyle w:val="21"/>
        <w:tabs>
          <w:tab w:val="right" w:leader="dot" w:pos="9061"/>
        </w:tabs>
        <w:rPr>
          <w:rFonts w:ascii="Calibri" w:hAnsi="Calibri"/>
          <w:noProof/>
          <w:kern w:val="2"/>
        </w:rPr>
      </w:pPr>
      <w:hyperlink w:anchor="_Toc198618873" w:history="1">
        <w:r w:rsidRPr="000A1A03">
          <w:rPr>
            <w:rStyle w:val="a3"/>
            <w:noProof/>
          </w:rPr>
          <w:t>Российская газета, 19.05.2025, В Госдуме предложили не учитывать число иждивенцев для повышения пенсии</w:t>
        </w:r>
        <w:r>
          <w:rPr>
            <w:noProof/>
            <w:webHidden/>
          </w:rPr>
          <w:tab/>
        </w:r>
        <w:r>
          <w:rPr>
            <w:noProof/>
            <w:webHidden/>
          </w:rPr>
          <w:fldChar w:fldCharType="begin"/>
        </w:r>
        <w:r>
          <w:rPr>
            <w:noProof/>
            <w:webHidden/>
          </w:rPr>
          <w:instrText xml:space="preserve"> PAGEREF _Toc198618873 \h </w:instrText>
        </w:r>
        <w:r>
          <w:rPr>
            <w:noProof/>
            <w:webHidden/>
          </w:rPr>
        </w:r>
        <w:r>
          <w:rPr>
            <w:noProof/>
            <w:webHidden/>
          </w:rPr>
          <w:fldChar w:fldCharType="separate"/>
        </w:r>
        <w:r w:rsidR="004775B7">
          <w:rPr>
            <w:noProof/>
            <w:webHidden/>
          </w:rPr>
          <w:t>30</w:t>
        </w:r>
        <w:r>
          <w:rPr>
            <w:noProof/>
            <w:webHidden/>
          </w:rPr>
          <w:fldChar w:fldCharType="end"/>
        </w:r>
      </w:hyperlink>
    </w:p>
    <w:p w14:paraId="63327ED6" w14:textId="409258A2" w:rsidR="00A03AE7" w:rsidRDefault="00A03AE7">
      <w:pPr>
        <w:pStyle w:val="31"/>
        <w:rPr>
          <w:rFonts w:ascii="Calibri" w:hAnsi="Calibri"/>
          <w:kern w:val="2"/>
        </w:rPr>
      </w:pPr>
      <w:hyperlink w:anchor="_Toc198618874" w:history="1">
        <w:r w:rsidRPr="000A1A03">
          <w:rPr>
            <w:rStyle w:val="a3"/>
          </w:rPr>
          <w:t>Сегодня в Госдуму вносится законопроект, предусматривающий снятие ограничений по числу нетрудоспособных членов семьи, находящихся на иждивении пенсионеров. Это позволит повысить уровень материального обеспечения семьи.</w:t>
        </w:r>
        <w:r>
          <w:rPr>
            <w:webHidden/>
          </w:rPr>
          <w:tab/>
        </w:r>
        <w:r>
          <w:rPr>
            <w:webHidden/>
          </w:rPr>
          <w:fldChar w:fldCharType="begin"/>
        </w:r>
        <w:r>
          <w:rPr>
            <w:webHidden/>
          </w:rPr>
          <w:instrText xml:space="preserve"> PAGEREF _Toc198618874 \h </w:instrText>
        </w:r>
        <w:r>
          <w:rPr>
            <w:webHidden/>
          </w:rPr>
        </w:r>
        <w:r>
          <w:rPr>
            <w:webHidden/>
          </w:rPr>
          <w:fldChar w:fldCharType="separate"/>
        </w:r>
        <w:r w:rsidR="004775B7">
          <w:rPr>
            <w:webHidden/>
          </w:rPr>
          <w:t>30</w:t>
        </w:r>
        <w:r>
          <w:rPr>
            <w:webHidden/>
          </w:rPr>
          <w:fldChar w:fldCharType="end"/>
        </w:r>
      </w:hyperlink>
    </w:p>
    <w:p w14:paraId="2338D519" w14:textId="620C1B68" w:rsidR="00A03AE7" w:rsidRDefault="00A03AE7">
      <w:pPr>
        <w:pStyle w:val="21"/>
        <w:tabs>
          <w:tab w:val="right" w:leader="dot" w:pos="9061"/>
        </w:tabs>
        <w:rPr>
          <w:rFonts w:ascii="Calibri" w:hAnsi="Calibri"/>
          <w:noProof/>
          <w:kern w:val="2"/>
        </w:rPr>
      </w:pPr>
      <w:hyperlink w:anchor="_Toc198618875" w:history="1">
        <w:r w:rsidRPr="000A1A03">
          <w:rPr>
            <w:rStyle w:val="a3"/>
            <w:noProof/>
          </w:rPr>
          <w:t>Парламентская газета, 19.05.2025, В Госдуму внесли законопроект о прибавке к пенсии за всех иждивенцев</w:t>
        </w:r>
        <w:r>
          <w:rPr>
            <w:noProof/>
            <w:webHidden/>
          </w:rPr>
          <w:tab/>
        </w:r>
        <w:r>
          <w:rPr>
            <w:noProof/>
            <w:webHidden/>
          </w:rPr>
          <w:fldChar w:fldCharType="begin"/>
        </w:r>
        <w:r>
          <w:rPr>
            <w:noProof/>
            <w:webHidden/>
          </w:rPr>
          <w:instrText xml:space="preserve"> PAGEREF _Toc198618875 \h </w:instrText>
        </w:r>
        <w:r>
          <w:rPr>
            <w:noProof/>
            <w:webHidden/>
          </w:rPr>
        </w:r>
        <w:r>
          <w:rPr>
            <w:noProof/>
            <w:webHidden/>
          </w:rPr>
          <w:fldChar w:fldCharType="separate"/>
        </w:r>
        <w:r w:rsidR="004775B7">
          <w:rPr>
            <w:noProof/>
            <w:webHidden/>
          </w:rPr>
          <w:t>31</w:t>
        </w:r>
        <w:r>
          <w:rPr>
            <w:noProof/>
            <w:webHidden/>
          </w:rPr>
          <w:fldChar w:fldCharType="end"/>
        </w:r>
      </w:hyperlink>
    </w:p>
    <w:p w14:paraId="5653F580" w14:textId="429BCF4C" w:rsidR="00A03AE7" w:rsidRDefault="00A03AE7">
      <w:pPr>
        <w:pStyle w:val="31"/>
        <w:rPr>
          <w:rFonts w:ascii="Calibri" w:hAnsi="Calibri"/>
          <w:kern w:val="2"/>
        </w:rPr>
      </w:pPr>
      <w:hyperlink w:anchor="_Toc198618876" w:history="1">
        <w:r w:rsidRPr="000A1A03">
          <w:rPr>
            <w:rStyle w:val="a3"/>
          </w:rPr>
          <w:t>Председатель Комитета Госдумы по труду, социальной политике и делам ветеранов Ярослав Нилов предложил отменить ограничение по числу нетрудоспособных иждивенцев, за которых начисляются выплаты к страховой пенсии. Соответствующий законопроект он внес на рассмотрение палаты 19 мая. Изменения предлагается внести в законы «О государственном пенсионном обеспечении в Российской Федерации» и «О страховых пенсиях».</w:t>
        </w:r>
        <w:r>
          <w:rPr>
            <w:webHidden/>
          </w:rPr>
          <w:tab/>
        </w:r>
        <w:r>
          <w:rPr>
            <w:webHidden/>
          </w:rPr>
          <w:fldChar w:fldCharType="begin"/>
        </w:r>
        <w:r>
          <w:rPr>
            <w:webHidden/>
          </w:rPr>
          <w:instrText xml:space="preserve"> PAGEREF _Toc198618876 \h </w:instrText>
        </w:r>
        <w:r>
          <w:rPr>
            <w:webHidden/>
          </w:rPr>
        </w:r>
        <w:r>
          <w:rPr>
            <w:webHidden/>
          </w:rPr>
          <w:fldChar w:fldCharType="separate"/>
        </w:r>
        <w:r w:rsidR="004775B7">
          <w:rPr>
            <w:webHidden/>
          </w:rPr>
          <w:t>31</w:t>
        </w:r>
        <w:r>
          <w:rPr>
            <w:webHidden/>
          </w:rPr>
          <w:fldChar w:fldCharType="end"/>
        </w:r>
      </w:hyperlink>
    </w:p>
    <w:p w14:paraId="6DFE0C09" w14:textId="51595AFE" w:rsidR="00A03AE7" w:rsidRDefault="00A03AE7">
      <w:pPr>
        <w:pStyle w:val="21"/>
        <w:tabs>
          <w:tab w:val="right" w:leader="dot" w:pos="9061"/>
        </w:tabs>
        <w:rPr>
          <w:rFonts w:ascii="Calibri" w:hAnsi="Calibri"/>
          <w:noProof/>
          <w:kern w:val="2"/>
        </w:rPr>
      </w:pPr>
      <w:hyperlink w:anchor="_Toc198618877" w:history="1">
        <w:r w:rsidRPr="000A1A03">
          <w:rPr>
            <w:rStyle w:val="a3"/>
            <w:noProof/>
          </w:rPr>
          <w:t>RT, 19.05.2025, В Госдуме назвали условия, при которых может измениться размер пенсии</w:t>
        </w:r>
        <w:r>
          <w:rPr>
            <w:noProof/>
            <w:webHidden/>
          </w:rPr>
          <w:tab/>
        </w:r>
        <w:r>
          <w:rPr>
            <w:noProof/>
            <w:webHidden/>
          </w:rPr>
          <w:fldChar w:fldCharType="begin"/>
        </w:r>
        <w:r>
          <w:rPr>
            <w:noProof/>
            <w:webHidden/>
          </w:rPr>
          <w:instrText xml:space="preserve"> PAGEREF _Toc198618877 \h </w:instrText>
        </w:r>
        <w:r>
          <w:rPr>
            <w:noProof/>
            <w:webHidden/>
          </w:rPr>
        </w:r>
        <w:r>
          <w:rPr>
            <w:noProof/>
            <w:webHidden/>
          </w:rPr>
          <w:fldChar w:fldCharType="separate"/>
        </w:r>
        <w:r w:rsidR="004775B7">
          <w:rPr>
            <w:noProof/>
            <w:webHidden/>
          </w:rPr>
          <w:t>32</w:t>
        </w:r>
        <w:r>
          <w:rPr>
            <w:noProof/>
            <w:webHidden/>
          </w:rPr>
          <w:fldChar w:fldCharType="end"/>
        </w:r>
      </w:hyperlink>
    </w:p>
    <w:p w14:paraId="46209B9F" w14:textId="079B1993" w:rsidR="00A03AE7" w:rsidRDefault="00A03AE7">
      <w:pPr>
        <w:pStyle w:val="31"/>
        <w:rPr>
          <w:rFonts w:ascii="Calibri" w:hAnsi="Calibri"/>
          <w:kern w:val="2"/>
        </w:rPr>
      </w:pPr>
      <w:hyperlink w:anchor="_Toc198618878" w:history="1">
        <w:r w:rsidRPr="000A1A03">
          <w:rPr>
            <w:rStyle w:val="a3"/>
          </w:rPr>
          <w:t>Размер пенсии может измениться при смене региона проживания, особенно если в новом городе действует другой районный коэффициент, рассказал в беседе с RT депутат Госдумы, член комитета по бюджету и налогам Никита Чаплин. Он отметил, что это актуально для пенсионеров, переезжающих из районов Крайнего Севера.</w:t>
        </w:r>
        <w:r>
          <w:rPr>
            <w:webHidden/>
          </w:rPr>
          <w:tab/>
        </w:r>
        <w:r>
          <w:rPr>
            <w:webHidden/>
          </w:rPr>
          <w:fldChar w:fldCharType="begin"/>
        </w:r>
        <w:r>
          <w:rPr>
            <w:webHidden/>
          </w:rPr>
          <w:instrText xml:space="preserve"> PAGEREF _Toc198618878 \h </w:instrText>
        </w:r>
        <w:r>
          <w:rPr>
            <w:webHidden/>
          </w:rPr>
        </w:r>
        <w:r>
          <w:rPr>
            <w:webHidden/>
          </w:rPr>
          <w:fldChar w:fldCharType="separate"/>
        </w:r>
        <w:r w:rsidR="004775B7">
          <w:rPr>
            <w:webHidden/>
          </w:rPr>
          <w:t>32</w:t>
        </w:r>
        <w:r>
          <w:rPr>
            <w:webHidden/>
          </w:rPr>
          <w:fldChar w:fldCharType="end"/>
        </w:r>
      </w:hyperlink>
    </w:p>
    <w:p w14:paraId="6BFF0165" w14:textId="3E61CAE5" w:rsidR="00A03AE7" w:rsidRDefault="00A03AE7">
      <w:pPr>
        <w:pStyle w:val="21"/>
        <w:tabs>
          <w:tab w:val="right" w:leader="dot" w:pos="9061"/>
        </w:tabs>
        <w:rPr>
          <w:rFonts w:ascii="Calibri" w:hAnsi="Calibri"/>
          <w:noProof/>
          <w:kern w:val="2"/>
        </w:rPr>
      </w:pPr>
      <w:hyperlink w:anchor="_Toc198618879" w:history="1">
        <w:r w:rsidRPr="000A1A03">
          <w:rPr>
            <w:rStyle w:val="a3"/>
            <w:noProof/>
          </w:rPr>
          <w:t>RT, 19.05.2025, Депутат: в августе 2025 года работающим пенсионерам пересчитают страховую пенсию</w:t>
        </w:r>
        <w:r>
          <w:rPr>
            <w:noProof/>
            <w:webHidden/>
          </w:rPr>
          <w:tab/>
        </w:r>
        <w:r>
          <w:rPr>
            <w:noProof/>
            <w:webHidden/>
          </w:rPr>
          <w:fldChar w:fldCharType="begin"/>
        </w:r>
        <w:r>
          <w:rPr>
            <w:noProof/>
            <w:webHidden/>
          </w:rPr>
          <w:instrText xml:space="preserve"> PAGEREF _Toc198618879 \h </w:instrText>
        </w:r>
        <w:r>
          <w:rPr>
            <w:noProof/>
            <w:webHidden/>
          </w:rPr>
        </w:r>
        <w:r>
          <w:rPr>
            <w:noProof/>
            <w:webHidden/>
          </w:rPr>
          <w:fldChar w:fldCharType="separate"/>
        </w:r>
        <w:r w:rsidR="004775B7">
          <w:rPr>
            <w:noProof/>
            <w:webHidden/>
          </w:rPr>
          <w:t>33</w:t>
        </w:r>
        <w:r>
          <w:rPr>
            <w:noProof/>
            <w:webHidden/>
          </w:rPr>
          <w:fldChar w:fldCharType="end"/>
        </w:r>
      </w:hyperlink>
    </w:p>
    <w:p w14:paraId="30E56957" w14:textId="5E98FC49" w:rsidR="00A03AE7" w:rsidRDefault="00A03AE7">
      <w:pPr>
        <w:pStyle w:val="31"/>
        <w:rPr>
          <w:rFonts w:ascii="Calibri" w:hAnsi="Calibri"/>
          <w:kern w:val="2"/>
        </w:rPr>
      </w:pPr>
      <w:hyperlink w:anchor="_Toc198618880" w:history="1">
        <w:r w:rsidRPr="000A1A03">
          <w:rPr>
            <w:rStyle w:val="a3"/>
          </w:rPr>
          <w:t>В августе 2025 года работающим пенсионерам произведут ежегодный перерасчёт страховой пенсии, рассказал RT депутат Госдумы, член комитета Госдумы по малому и среднему предпринимательству Алексей Говырин.</w:t>
        </w:r>
        <w:r>
          <w:rPr>
            <w:webHidden/>
          </w:rPr>
          <w:tab/>
        </w:r>
        <w:r>
          <w:rPr>
            <w:webHidden/>
          </w:rPr>
          <w:fldChar w:fldCharType="begin"/>
        </w:r>
        <w:r>
          <w:rPr>
            <w:webHidden/>
          </w:rPr>
          <w:instrText xml:space="preserve"> PAGEREF _Toc198618880 \h </w:instrText>
        </w:r>
        <w:r>
          <w:rPr>
            <w:webHidden/>
          </w:rPr>
        </w:r>
        <w:r>
          <w:rPr>
            <w:webHidden/>
          </w:rPr>
          <w:fldChar w:fldCharType="separate"/>
        </w:r>
        <w:r w:rsidR="004775B7">
          <w:rPr>
            <w:webHidden/>
          </w:rPr>
          <w:t>33</w:t>
        </w:r>
        <w:r>
          <w:rPr>
            <w:webHidden/>
          </w:rPr>
          <w:fldChar w:fldCharType="end"/>
        </w:r>
      </w:hyperlink>
    </w:p>
    <w:p w14:paraId="6C070CF0" w14:textId="36665EC9" w:rsidR="00A03AE7" w:rsidRDefault="00A03AE7">
      <w:pPr>
        <w:pStyle w:val="21"/>
        <w:tabs>
          <w:tab w:val="right" w:leader="dot" w:pos="9061"/>
        </w:tabs>
        <w:rPr>
          <w:rFonts w:ascii="Calibri" w:hAnsi="Calibri"/>
          <w:noProof/>
          <w:kern w:val="2"/>
        </w:rPr>
      </w:pPr>
      <w:hyperlink w:anchor="_Toc198618881" w:history="1">
        <w:r w:rsidRPr="000A1A03">
          <w:rPr>
            <w:rStyle w:val="a3"/>
            <w:noProof/>
          </w:rPr>
          <w:t>Лента.ру, 19.05.2025, Россиянам назвали ближайший срок повышения пенсии</w:t>
        </w:r>
        <w:r>
          <w:rPr>
            <w:noProof/>
            <w:webHidden/>
          </w:rPr>
          <w:tab/>
        </w:r>
        <w:r>
          <w:rPr>
            <w:noProof/>
            <w:webHidden/>
          </w:rPr>
          <w:fldChar w:fldCharType="begin"/>
        </w:r>
        <w:r>
          <w:rPr>
            <w:noProof/>
            <w:webHidden/>
          </w:rPr>
          <w:instrText xml:space="preserve"> PAGEREF _Toc198618881 \h </w:instrText>
        </w:r>
        <w:r>
          <w:rPr>
            <w:noProof/>
            <w:webHidden/>
          </w:rPr>
        </w:r>
        <w:r>
          <w:rPr>
            <w:noProof/>
            <w:webHidden/>
          </w:rPr>
          <w:fldChar w:fldCharType="separate"/>
        </w:r>
        <w:r w:rsidR="004775B7">
          <w:rPr>
            <w:noProof/>
            <w:webHidden/>
          </w:rPr>
          <w:t>33</w:t>
        </w:r>
        <w:r>
          <w:rPr>
            <w:noProof/>
            <w:webHidden/>
          </w:rPr>
          <w:fldChar w:fldCharType="end"/>
        </w:r>
      </w:hyperlink>
    </w:p>
    <w:p w14:paraId="65884753" w14:textId="44BC027A" w:rsidR="00A03AE7" w:rsidRDefault="00A03AE7">
      <w:pPr>
        <w:pStyle w:val="31"/>
        <w:rPr>
          <w:rFonts w:ascii="Calibri" w:hAnsi="Calibri"/>
          <w:kern w:val="2"/>
        </w:rPr>
      </w:pPr>
      <w:hyperlink w:anchor="_Toc198618882" w:history="1">
        <w:r w:rsidRPr="000A1A03">
          <w:rPr>
            <w:rStyle w:val="a3"/>
          </w:rPr>
          <w:t>С 1 августа будет повышена пенсия работающим пенсионерам, сообщила член комитета Госдумы по труду, социальной политике и делам ветеранов Светлана Бессараб. Ближайший срок индексации выплаты она назвала в разговоре с «Лентой.ру».</w:t>
        </w:r>
        <w:r>
          <w:rPr>
            <w:webHidden/>
          </w:rPr>
          <w:tab/>
        </w:r>
        <w:r>
          <w:rPr>
            <w:webHidden/>
          </w:rPr>
          <w:fldChar w:fldCharType="begin"/>
        </w:r>
        <w:r>
          <w:rPr>
            <w:webHidden/>
          </w:rPr>
          <w:instrText xml:space="preserve"> PAGEREF _Toc198618882 \h </w:instrText>
        </w:r>
        <w:r>
          <w:rPr>
            <w:webHidden/>
          </w:rPr>
        </w:r>
        <w:r>
          <w:rPr>
            <w:webHidden/>
          </w:rPr>
          <w:fldChar w:fldCharType="separate"/>
        </w:r>
        <w:r w:rsidR="004775B7">
          <w:rPr>
            <w:webHidden/>
          </w:rPr>
          <w:t>33</w:t>
        </w:r>
        <w:r>
          <w:rPr>
            <w:webHidden/>
          </w:rPr>
          <w:fldChar w:fldCharType="end"/>
        </w:r>
      </w:hyperlink>
    </w:p>
    <w:p w14:paraId="382529F9" w14:textId="55A2F84B" w:rsidR="00A03AE7" w:rsidRDefault="00A03AE7">
      <w:pPr>
        <w:pStyle w:val="21"/>
        <w:tabs>
          <w:tab w:val="right" w:leader="dot" w:pos="9061"/>
        </w:tabs>
        <w:rPr>
          <w:rFonts w:ascii="Calibri" w:hAnsi="Calibri"/>
          <w:noProof/>
          <w:kern w:val="2"/>
        </w:rPr>
      </w:pPr>
      <w:hyperlink w:anchor="_Toc198618883" w:history="1">
        <w:r w:rsidRPr="000A1A03">
          <w:rPr>
            <w:rStyle w:val="a3"/>
            <w:noProof/>
          </w:rPr>
          <w:t>Гарант.ру, 19.05.2025, Работающим пенсионерам повысят страховые выплаты с 1 августа</w:t>
        </w:r>
        <w:r>
          <w:rPr>
            <w:noProof/>
            <w:webHidden/>
          </w:rPr>
          <w:tab/>
        </w:r>
        <w:r>
          <w:rPr>
            <w:noProof/>
            <w:webHidden/>
          </w:rPr>
          <w:fldChar w:fldCharType="begin"/>
        </w:r>
        <w:r>
          <w:rPr>
            <w:noProof/>
            <w:webHidden/>
          </w:rPr>
          <w:instrText xml:space="preserve"> PAGEREF _Toc198618883 \h </w:instrText>
        </w:r>
        <w:r>
          <w:rPr>
            <w:noProof/>
            <w:webHidden/>
          </w:rPr>
        </w:r>
        <w:r>
          <w:rPr>
            <w:noProof/>
            <w:webHidden/>
          </w:rPr>
          <w:fldChar w:fldCharType="separate"/>
        </w:r>
        <w:r w:rsidR="004775B7">
          <w:rPr>
            <w:noProof/>
            <w:webHidden/>
          </w:rPr>
          <w:t>34</w:t>
        </w:r>
        <w:r>
          <w:rPr>
            <w:noProof/>
            <w:webHidden/>
          </w:rPr>
          <w:fldChar w:fldCharType="end"/>
        </w:r>
      </w:hyperlink>
    </w:p>
    <w:p w14:paraId="04C801BD" w14:textId="1C80AE14" w:rsidR="00A03AE7" w:rsidRDefault="00A03AE7">
      <w:pPr>
        <w:pStyle w:val="31"/>
        <w:rPr>
          <w:rFonts w:ascii="Calibri" w:hAnsi="Calibri"/>
          <w:kern w:val="2"/>
        </w:rPr>
      </w:pPr>
      <w:hyperlink w:anchor="_Toc198618884" w:history="1">
        <w:r w:rsidRPr="000A1A03">
          <w:rPr>
            <w:rStyle w:val="a3"/>
          </w:rPr>
          <w:t>Перерасчет размера пенсии по старости проводят ежегодно на основании данных индивидуального (персонифицированного) учета в системах обязательного пенсионного и социального страхования. Повышение связано с увеличением суммы индивидуальных пенсионных коэффициентов исходя из тех страховых взносов, которые не были учтены при определении величины ИПК в момент назначения или предыдущего перерасчета пенсии (ч. 4-5 ст. 19 Федерального закона от 28 декабря 2013 г. № 400-ФЗ "О страховых пенсиях").</w:t>
        </w:r>
        <w:r>
          <w:rPr>
            <w:webHidden/>
          </w:rPr>
          <w:tab/>
        </w:r>
        <w:r>
          <w:rPr>
            <w:webHidden/>
          </w:rPr>
          <w:fldChar w:fldCharType="begin"/>
        </w:r>
        <w:r>
          <w:rPr>
            <w:webHidden/>
          </w:rPr>
          <w:instrText xml:space="preserve"> PAGEREF _Toc198618884 \h </w:instrText>
        </w:r>
        <w:r>
          <w:rPr>
            <w:webHidden/>
          </w:rPr>
        </w:r>
        <w:r>
          <w:rPr>
            <w:webHidden/>
          </w:rPr>
          <w:fldChar w:fldCharType="separate"/>
        </w:r>
        <w:r w:rsidR="004775B7">
          <w:rPr>
            <w:webHidden/>
          </w:rPr>
          <w:t>34</w:t>
        </w:r>
        <w:r>
          <w:rPr>
            <w:webHidden/>
          </w:rPr>
          <w:fldChar w:fldCharType="end"/>
        </w:r>
      </w:hyperlink>
    </w:p>
    <w:p w14:paraId="07F75FB1" w14:textId="7C9B9B15" w:rsidR="00A03AE7" w:rsidRDefault="00A03AE7">
      <w:pPr>
        <w:pStyle w:val="21"/>
        <w:tabs>
          <w:tab w:val="right" w:leader="dot" w:pos="9061"/>
        </w:tabs>
        <w:rPr>
          <w:rFonts w:ascii="Calibri" w:hAnsi="Calibri"/>
          <w:noProof/>
          <w:kern w:val="2"/>
        </w:rPr>
      </w:pPr>
      <w:hyperlink w:anchor="_Toc198618885" w:history="1">
        <w:r w:rsidRPr="000A1A03">
          <w:rPr>
            <w:rStyle w:val="a3"/>
            <w:noProof/>
          </w:rPr>
          <w:t>Газета.ру, 19.05.2025, Сенатор назвала реальную мотивацию работающих пенсионеров</w:t>
        </w:r>
        <w:r>
          <w:rPr>
            <w:noProof/>
            <w:webHidden/>
          </w:rPr>
          <w:tab/>
        </w:r>
        <w:r>
          <w:rPr>
            <w:noProof/>
            <w:webHidden/>
          </w:rPr>
          <w:fldChar w:fldCharType="begin"/>
        </w:r>
        <w:r>
          <w:rPr>
            <w:noProof/>
            <w:webHidden/>
          </w:rPr>
          <w:instrText xml:space="preserve"> PAGEREF _Toc198618885 \h </w:instrText>
        </w:r>
        <w:r>
          <w:rPr>
            <w:noProof/>
            <w:webHidden/>
          </w:rPr>
        </w:r>
        <w:r>
          <w:rPr>
            <w:noProof/>
            <w:webHidden/>
          </w:rPr>
          <w:fldChar w:fldCharType="separate"/>
        </w:r>
        <w:r w:rsidR="004775B7">
          <w:rPr>
            <w:noProof/>
            <w:webHidden/>
          </w:rPr>
          <w:t>35</w:t>
        </w:r>
        <w:r>
          <w:rPr>
            <w:noProof/>
            <w:webHidden/>
          </w:rPr>
          <w:fldChar w:fldCharType="end"/>
        </w:r>
      </w:hyperlink>
    </w:p>
    <w:p w14:paraId="381ECD56" w14:textId="30F8EE94" w:rsidR="00A03AE7" w:rsidRDefault="00A03AE7">
      <w:pPr>
        <w:pStyle w:val="31"/>
        <w:rPr>
          <w:rFonts w:ascii="Calibri" w:hAnsi="Calibri"/>
          <w:kern w:val="2"/>
        </w:rPr>
      </w:pPr>
      <w:hyperlink w:anchor="_Toc198618886" w:history="1">
        <w:r w:rsidRPr="000A1A03">
          <w:rPr>
            <w:rStyle w:val="a3"/>
          </w:rPr>
          <w:t>Пенсионеры в России работают из-за финансовой необходимости, а не для самореализации. Об этом «Газете.Ru» заявила сенатор, член центрального совета партии «Справедливая Россия — За правду» Ольга Епифанова.</w:t>
        </w:r>
        <w:r>
          <w:rPr>
            <w:webHidden/>
          </w:rPr>
          <w:tab/>
        </w:r>
        <w:r>
          <w:rPr>
            <w:webHidden/>
          </w:rPr>
          <w:fldChar w:fldCharType="begin"/>
        </w:r>
        <w:r>
          <w:rPr>
            <w:webHidden/>
          </w:rPr>
          <w:instrText xml:space="preserve"> PAGEREF _Toc198618886 \h </w:instrText>
        </w:r>
        <w:r>
          <w:rPr>
            <w:webHidden/>
          </w:rPr>
        </w:r>
        <w:r>
          <w:rPr>
            <w:webHidden/>
          </w:rPr>
          <w:fldChar w:fldCharType="separate"/>
        </w:r>
        <w:r w:rsidR="004775B7">
          <w:rPr>
            <w:webHidden/>
          </w:rPr>
          <w:t>35</w:t>
        </w:r>
        <w:r>
          <w:rPr>
            <w:webHidden/>
          </w:rPr>
          <w:fldChar w:fldCharType="end"/>
        </w:r>
      </w:hyperlink>
    </w:p>
    <w:p w14:paraId="10B83363" w14:textId="734AA06E" w:rsidR="00A03AE7" w:rsidRDefault="00A03AE7">
      <w:pPr>
        <w:pStyle w:val="21"/>
        <w:tabs>
          <w:tab w:val="right" w:leader="dot" w:pos="9061"/>
        </w:tabs>
        <w:rPr>
          <w:rFonts w:ascii="Calibri" w:hAnsi="Calibri"/>
          <w:noProof/>
          <w:kern w:val="2"/>
        </w:rPr>
      </w:pPr>
      <w:hyperlink w:anchor="_Toc198618887" w:history="1">
        <w:r w:rsidRPr="000A1A03">
          <w:rPr>
            <w:rStyle w:val="a3"/>
            <w:noProof/>
          </w:rPr>
          <w:t>Газета.ру, 19.05.2025, Россиянам рассказали, как накопить с пенсии</w:t>
        </w:r>
        <w:r>
          <w:rPr>
            <w:noProof/>
            <w:webHidden/>
          </w:rPr>
          <w:tab/>
        </w:r>
        <w:r>
          <w:rPr>
            <w:noProof/>
            <w:webHidden/>
          </w:rPr>
          <w:fldChar w:fldCharType="begin"/>
        </w:r>
        <w:r>
          <w:rPr>
            <w:noProof/>
            <w:webHidden/>
          </w:rPr>
          <w:instrText xml:space="preserve"> PAGEREF _Toc198618887 \h </w:instrText>
        </w:r>
        <w:r>
          <w:rPr>
            <w:noProof/>
            <w:webHidden/>
          </w:rPr>
        </w:r>
        <w:r>
          <w:rPr>
            <w:noProof/>
            <w:webHidden/>
          </w:rPr>
          <w:fldChar w:fldCharType="separate"/>
        </w:r>
        <w:r w:rsidR="004775B7">
          <w:rPr>
            <w:noProof/>
            <w:webHidden/>
          </w:rPr>
          <w:t>35</w:t>
        </w:r>
        <w:r>
          <w:rPr>
            <w:noProof/>
            <w:webHidden/>
          </w:rPr>
          <w:fldChar w:fldCharType="end"/>
        </w:r>
      </w:hyperlink>
    </w:p>
    <w:p w14:paraId="059819F6" w14:textId="53618392" w:rsidR="00A03AE7" w:rsidRDefault="00A03AE7">
      <w:pPr>
        <w:pStyle w:val="31"/>
        <w:rPr>
          <w:rFonts w:ascii="Calibri" w:hAnsi="Calibri"/>
          <w:kern w:val="2"/>
        </w:rPr>
      </w:pPr>
      <w:hyperlink w:anchor="_Toc198618888" w:history="1">
        <w:r w:rsidRPr="000A1A03">
          <w:rPr>
            <w:rStyle w:val="a3"/>
          </w:rPr>
          <w:t>Россияне могут заработать до 32 тыс. рублей в год, откладывая по 10% от пенсии в месяц. Об этом «Газете.Ru» рассказала кандидат экономических наук, инвестор, педагог ИМЭС Ирина Ахмадуллина.</w:t>
        </w:r>
        <w:r>
          <w:rPr>
            <w:webHidden/>
          </w:rPr>
          <w:tab/>
        </w:r>
        <w:r>
          <w:rPr>
            <w:webHidden/>
          </w:rPr>
          <w:fldChar w:fldCharType="begin"/>
        </w:r>
        <w:r>
          <w:rPr>
            <w:webHidden/>
          </w:rPr>
          <w:instrText xml:space="preserve"> PAGEREF _Toc198618888 \h </w:instrText>
        </w:r>
        <w:r>
          <w:rPr>
            <w:webHidden/>
          </w:rPr>
        </w:r>
        <w:r>
          <w:rPr>
            <w:webHidden/>
          </w:rPr>
          <w:fldChar w:fldCharType="separate"/>
        </w:r>
        <w:r w:rsidR="004775B7">
          <w:rPr>
            <w:webHidden/>
          </w:rPr>
          <w:t>35</w:t>
        </w:r>
        <w:r>
          <w:rPr>
            <w:webHidden/>
          </w:rPr>
          <w:fldChar w:fldCharType="end"/>
        </w:r>
      </w:hyperlink>
    </w:p>
    <w:p w14:paraId="3728A04D" w14:textId="5477AAD4" w:rsidR="00A03AE7" w:rsidRDefault="00A03AE7">
      <w:pPr>
        <w:pStyle w:val="21"/>
        <w:tabs>
          <w:tab w:val="right" w:leader="dot" w:pos="9061"/>
        </w:tabs>
        <w:rPr>
          <w:rFonts w:ascii="Calibri" w:hAnsi="Calibri"/>
          <w:noProof/>
          <w:kern w:val="2"/>
        </w:rPr>
      </w:pPr>
      <w:hyperlink w:anchor="_Toc198618889" w:history="1">
        <w:r w:rsidRPr="000A1A03">
          <w:rPr>
            <w:rStyle w:val="a3"/>
            <w:noProof/>
          </w:rPr>
          <w:t>Конкурент, 19.05.2025, В Госдуме разработали новые нормы начисления прибавок к пенсии</w:t>
        </w:r>
        <w:r>
          <w:rPr>
            <w:noProof/>
            <w:webHidden/>
          </w:rPr>
          <w:tab/>
        </w:r>
        <w:r>
          <w:rPr>
            <w:noProof/>
            <w:webHidden/>
          </w:rPr>
          <w:fldChar w:fldCharType="begin"/>
        </w:r>
        <w:r>
          <w:rPr>
            <w:noProof/>
            <w:webHidden/>
          </w:rPr>
          <w:instrText xml:space="preserve"> PAGEREF _Toc198618889 \h </w:instrText>
        </w:r>
        <w:r>
          <w:rPr>
            <w:noProof/>
            <w:webHidden/>
          </w:rPr>
        </w:r>
        <w:r>
          <w:rPr>
            <w:noProof/>
            <w:webHidden/>
          </w:rPr>
          <w:fldChar w:fldCharType="separate"/>
        </w:r>
        <w:r w:rsidR="004775B7">
          <w:rPr>
            <w:noProof/>
            <w:webHidden/>
          </w:rPr>
          <w:t>36</w:t>
        </w:r>
        <w:r>
          <w:rPr>
            <w:noProof/>
            <w:webHidden/>
          </w:rPr>
          <w:fldChar w:fldCharType="end"/>
        </w:r>
      </w:hyperlink>
    </w:p>
    <w:p w14:paraId="2C9A6AB6" w14:textId="19143154" w:rsidR="00A03AE7" w:rsidRDefault="00A03AE7">
      <w:pPr>
        <w:pStyle w:val="31"/>
        <w:rPr>
          <w:rFonts w:ascii="Calibri" w:hAnsi="Calibri"/>
          <w:kern w:val="2"/>
        </w:rPr>
      </w:pPr>
      <w:hyperlink w:anchor="_Toc198618890" w:history="1">
        <w:r w:rsidRPr="000A1A03">
          <w:rPr>
            <w:rStyle w:val="a3"/>
          </w:rPr>
          <w:t>Изменения, которые может ввести новый проект закона, должны коснуться надбавок для тех пожилых граждан, у кого на иждивении есть нетрудоспособные члены семьи. Об инициативе в своем ТГ-канале рассказал глава комитета Государственной думы по труду, социальной политике и делам ветеранов Ярослав Нилов.</w:t>
        </w:r>
        <w:r>
          <w:rPr>
            <w:webHidden/>
          </w:rPr>
          <w:tab/>
        </w:r>
        <w:r>
          <w:rPr>
            <w:webHidden/>
          </w:rPr>
          <w:fldChar w:fldCharType="begin"/>
        </w:r>
        <w:r>
          <w:rPr>
            <w:webHidden/>
          </w:rPr>
          <w:instrText xml:space="preserve"> PAGEREF _Toc198618890 \h </w:instrText>
        </w:r>
        <w:r>
          <w:rPr>
            <w:webHidden/>
          </w:rPr>
        </w:r>
        <w:r>
          <w:rPr>
            <w:webHidden/>
          </w:rPr>
          <w:fldChar w:fldCharType="separate"/>
        </w:r>
        <w:r w:rsidR="004775B7">
          <w:rPr>
            <w:webHidden/>
          </w:rPr>
          <w:t>36</w:t>
        </w:r>
        <w:r>
          <w:rPr>
            <w:webHidden/>
          </w:rPr>
          <w:fldChar w:fldCharType="end"/>
        </w:r>
      </w:hyperlink>
    </w:p>
    <w:p w14:paraId="3AFC9F8F" w14:textId="604211C6" w:rsidR="00A03AE7" w:rsidRDefault="00A03AE7">
      <w:pPr>
        <w:pStyle w:val="21"/>
        <w:tabs>
          <w:tab w:val="right" w:leader="dot" w:pos="9061"/>
        </w:tabs>
        <w:rPr>
          <w:rFonts w:ascii="Calibri" w:hAnsi="Calibri"/>
          <w:noProof/>
          <w:kern w:val="2"/>
        </w:rPr>
      </w:pPr>
      <w:hyperlink w:anchor="_Toc198618891" w:history="1">
        <w:r w:rsidRPr="000A1A03">
          <w:rPr>
            <w:rStyle w:val="a3"/>
            <w:noProof/>
          </w:rPr>
          <w:t>Конкурент, 19.05.2025, В СФР раскрыли, сколько сейчас получают пенсионеры</w:t>
        </w:r>
        <w:r>
          <w:rPr>
            <w:noProof/>
            <w:webHidden/>
          </w:rPr>
          <w:tab/>
        </w:r>
        <w:r>
          <w:rPr>
            <w:noProof/>
            <w:webHidden/>
          </w:rPr>
          <w:fldChar w:fldCharType="begin"/>
        </w:r>
        <w:r>
          <w:rPr>
            <w:noProof/>
            <w:webHidden/>
          </w:rPr>
          <w:instrText xml:space="preserve"> PAGEREF _Toc198618891 \h </w:instrText>
        </w:r>
        <w:r>
          <w:rPr>
            <w:noProof/>
            <w:webHidden/>
          </w:rPr>
        </w:r>
        <w:r>
          <w:rPr>
            <w:noProof/>
            <w:webHidden/>
          </w:rPr>
          <w:fldChar w:fldCharType="separate"/>
        </w:r>
        <w:r w:rsidR="004775B7">
          <w:rPr>
            <w:noProof/>
            <w:webHidden/>
          </w:rPr>
          <w:t>36</w:t>
        </w:r>
        <w:r>
          <w:rPr>
            <w:noProof/>
            <w:webHidden/>
          </w:rPr>
          <w:fldChar w:fldCharType="end"/>
        </w:r>
      </w:hyperlink>
    </w:p>
    <w:p w14:paraId="088209D1" w14:textId="5672F6F3" w:rsidR="00A03AE7" w:rsidRDefault="00A03AE7">
      <w:pPr>
        <w:pStyle w:val="31"/>
        <w:rPr>
          <w:rFonts w:ascii="Calibri" w:hAnsi="Calibri"/>
          <w:kern w:val="2"/>
        </w:rPr>
      </w:pPr>
      <w:hyperlink w:anchor="_Toc198618892" w:history="1">
        <w:r w:rsidRPr="000A1A03">
          <w:rPr>
            <w:rStyle w:val="a3"/>
          </w:rPr>
          <w:t>В СФР огласили данные, актуальные на 1 января 2025 г. Россиянам рассказали, сколько получают работающие, неработающие пенсионеры, инвалиды и те, кто потерял кормильца.</w:t>
        </w:r>
        <w:r>
          <w:rPr>
            <w:webHidden/>
          </w:rPr>
          <w:tab/>
        </w:r>
        <w:r>
          <w:rPr>
            <w:webHidden/>
          </w:rPr>
          <w:fldChar w:fldCharType="begin"/>
        </w:r>
        <w:r>
          <w:rPr>
            <w:webHidden/>
          </w:rPr>
          <w:instrText xml:space="preserve"> PAGEREF _Toc198618892 \h </w:instrText>
        </w:r>
        <w:r>
          <w:rPr>
            <w:webHidden/>
          </w:rPr>
        </w:r>
        <w:r>
          <w:rPr>
            <w:webHidden/>
          </w:rPr>
          <w:fldChar w:fldCharType="separate"/>
        </w:r>
        <w:r w:rsidR="004775B7">
          <w:rPr>
            <w:webHidden/>
          </w:rPr>
          <w:t>36</w:t>
        </w:r>
        <w:r>
          <w:rPr>
            <w:webHidden/>
          </w:rPr>
          <w:fldChar w:fldCharType="end"/>
        </w:r>
      </w:hyperlink>
    </w:p>
    <w:p w14:paraId="7FBF5ABB" w14:textId="152413C1" w:rsidR="00A03AE7" w:rsidRDefault="00A03AE7">
      <w:pPr>
        <w:pStyle w:val="21"/>
        <w:tabs>
          <w:tab w:val="right" w:leader="dot" w:pos="9061"/>
        </w:tabs>
        <w:rPr>
          <w:rFonts w:ascii="Calibri" w:hAnsi="Calibri"/>
          <w:noProof/>
          <w:kern w:val="2"/>
        </w:rPr>
      </w:pPr>
      <w:hyperlink w:anchor="_Toc198618893" w:history="1">
        <w:r w:rsidRPr="000A1A03">
          <w:rPr>
            <w:rStyle w:val="a3"/>
            <w:noProof/>
          </w:rPr>
          <w:t>Общественная служба новостей, 19.05.2025, С 1 июня 2025 года некоторых россиян ждет повышение пенсий</w:t>
        </w:r>
        <w:r>
          <w:rPr>
            <w:noProof/>
            <w:webHidden/>
          </w:rPr>
          <w:tab/>
        </w:r>
        <w:r>
          <w:rPr>
            <w:noProof/>
            <w:webHidden/>
          </w:rPr>
          <w:fldChar w:fldCharType="begin"/>
        </w:r>
        <w:r>
          <w:rPr>
            <w:noProof/>
            <w:webHidden/>
          </w:rPr>
          <w:instrText xml:space="preserve"> PAGEREF _Toc198618893 \h </w:instrText>
        </w:r>
        <w:r>
          <w:rPr>
            <w:noProof/>
            <w:webHidden/>
          </w:rPr>
        </w:r>
        <w:r>
          <w:rPr>
            <w:noProof/>
            <w:webHidden/>
          </w:rPr>
          <w:fldChar w:fldCharType="separate"/>
        </w:r>
        <w:r w:rsidR="004775B7">
          <w:rPr>
            <w:noProof/>
            <w:webHidden/>
          </w:rPr>
          <w:t>37</w:t>
        </w:r>
        <w:r>
          <w:rPr>
            <w:noProof/>
            <w:webHidden/>
          </w:rPr>
          <w:fldChar w:fldCharType="end"/>
        </w:r>
      </w:hyperlink>
    </w:p>
    <w:p w14:paraId="6B08C6E5" w14:textId="12BF97CB" w:rsidR="00A03AE7" w:rsidRDefault="00A03AE7">
      <w:pPr>
        <w:pStyle w:val="31"/>
        <w:rPr>
          <w:rFonts w:ascii="Calibri" w:hAnsi="Calibri"/>
          <w:kern w:val="2"/>
        </w:rPr>
      </w:pPr>
      <w:hyperlink w:anchor="_Toc198618894" w:history="1">
        <w:r w:rsidRPr="000A1A03">
          <w:rPr>
            <w:rStyle w:val="a3"/>
          </w:rPr>
          <w:t>С 1 июня 2025 года ряд категорий россиян ждет повышение пенсий. Общественная служба новостей разобралась, кого коснется повышение выплат.</w:t>
        </w:r>
        <w:r>
          <w:rPr>
            <w:webHidden/>
          </w:rPr>
          <w:tab/>
        </w:r>
        <w:r>
          <w:rPr>
            <w:webHidden/>
          </w:rPr>
          <w:fldChar w:fldCharType="begin"/>
        </w:r>
        <w:r>
          <w:rPr>
            <w:webHidden/>
          </w:rPr>
          <w:instrText xml:space="preserve"> PAGEREF _Toc198618894 \h </w:instrText>
        </w:r>
        <w:r>
          <w:rPr>
            <w:webHidden/>
          </w:rPr>
        </w:r>
        <w:r>
          <w:rPr>
            <w:webHidden/>
          </w:rPr>
          <w:fldChar w:fldCharType="separate"/>
        </w:r>
        <w:r w:rsidR="004775B7">
          <w:rPr>
            <w:webHidden/>
          </w:rPr>
          <w:t>37</w:t>
        </w:r>
        <w:r>
          <w:rPr>
            <w:webHidden/>
          </w:rPr>
          <w:fldChar w:fldCharType="end"/>
        </w:r>
      </w:hyperlink>
    </w:p>
    <w:p w14:paraId="4AC32EE9" w14:textId="351F846C" w:rsidR="00A03AE7" w:rsidRDefault="00A03AE7">
      <w:pPr>
        <w:pStyle w:val="21"/>
        <w:tabs>
          <w:tab w:val="right" w:leader="dot" w:pos="9061"/>
        </w:tabs>
        <w:rPr>
          <w:rFonts w:ascii="Calibri" w:hAnsi="Calibri"/>
          <w:noProof/>
          <w:kern w:val="2"/>
        </w:rPr>
      </w:pPr>
      <w:hyperlink w:anchor="_Toc198618895" w:history="1">
        <w:r w:rsidRPr="000A1A03">
          <w:rPr>
            <w:rStyle w:val="a3"/>
            <w:noProof/>
          </w:rPr>
          <w:t>Ридус, 19.05.2025, Экономист Кульбака: доплат к пенсии за всех иждивенцев не будет, хотя деньги есть</w:t>
        </w:r>
        <w:r>
          <w:rPr>
            <w:noProof/>
            <w:webHidden/>
          </w:rPr>
          <w:tab/>
        </w:r>
        <w:r>
          <w:rPr>
            <w:noProof/>
            <w:webHidden/>
          </w:rPr>
          <w:fldChar w:fldCharType="begin"/>
        </w:r>
        <w:r>
          <w:rPr>
            <w:noProof/>
            <w:webHidden/>
          </w:rPr>
          <w:instrText xml:space="preserve"> PAGEREF _Toc198618895 \h </w:instrText>
        </w:r>
        <w:r>
          <w:rPr>
            <w:noProof/>
            <w:webHidden/>
          </w:rPr>
        </w:r>
        <w:r>
          <w:rPr>
            <w:noProof/>
            <w:webHidden/>
          </w:rPr>
          <w:fldChar w:fldCharType="separate"/>
        </w:r>
        <w:r w:rsidR="004775B7">
          <w:rPr>
            <w:noProof/>
            <w:webHidden/>
          </w:rPr>
          <w:t>39</w:t>
        </w:r>
        <w:r>
          <w:rPr>
            <w:noProof/>
            <w:webHidden/>
          </w:rPr>
          <w:fldChar w:fldCharType="end"/>
        </w:r>
      </w:hyperlink>
    </w:p>
    <w:p w14:paraId="3CEB73E4" w14:textId="3883C654" w:rsidR="00A03AE7" w:rsidRDefault="00A03AE7">
      <w:pPr>
        <w:pStyle w:val="31"/>
        <w:rPr>
          <w:rFonts w:ascii="Calibri" w:hAnsi="Calibri"/>
          <w:kern w:val="2"/>
        </w:rPr>
      </w:pPr>
      <w:hyperlink w:anchor="_Toc198618896" w:history="1">
        <w:r w:rsidRPr="000A1A03">
          <w:rPr>
            <w:rStyle w:val="a3"/>
          </w:rPr>
          <w:t>Экономист Николай Кульбака обсудил с «Ридусом» перспективы законопроекта депутата Государственной думы РФ Ярослава Нилова, который предложил отменить ограничения на число иждивенцев в семье при повышении пенсий.</w:t>
        </w:r>
        <w:r>
          <w:rPr>
            <w:webHidden/>
          </w:rPr>
          <w:tab/>
        </w:r>
        <w:r>
          <w:rPr>
            <w:webHidden/>
          </w:rPr>
          <w:fldChar w:fldCharType="begin"/>
        </w:r>
        <w:r>
          <w:rPr>
            <w:webHidden/>
          </w:rPr>
          <w:instrText xml:space="preserve"> PAGEREF _Toc198618896 \h </w:instrText>
        </w:r>
        <w:r>
          <w:rPr>
            <w:webHidden/>
          </w:rPr>
        </w:r>
        <w:r>
          <w:rPr>
            <w:webHidden/>
          </w:rPr>
          <w:fldChar w:fldCharType="separate"/>
        </w:r>
        <w:r w:rsidR="004775B7">
          <w:rPr>
            <w:webHidden/>
          </w:rPr>
          <w:t>39</w:t>
        </w:r>
        <w:r>
          <w:rPr>
            <w:webHidden/>
          </w:rPr>
          <w:fldChar w:fldCharType="end"/>
        </w:r>
      </w:hyperlink>
    </w:p>
    <w:p w14:paraId="2FC9C41A" w14:textId="1A1B9793" w:rsidR="00A03AE7" w:rsidRDefault="00A03AE7">
      <w:pPr>
        <w:pStyle w:val="21"/>
        <w:tabs>
          <w:tab w:val="right" w:leader="dot" w:pos="9061"/>
        </w:tabs>
        <w:rPr>
          <w:rFonts w:ascii="Calibri" w:hAnsi="Calibri"/>
          <w:noProof/>
          <w:kern w:val="2"/>
        </w:rPr>
      </w:pPr>
      <w:hyperlink w:anchor="_Toc198618897" w:history="1">
        <w:r w:rsidRPr="000A1A03">
          <w:rPr>
            <w:rStyle w:val="a3"/>
            <w:noProof/>
          </w:rPr>
          <w:t>PRIMPRESS, 19.05.2025, Пенсионерам выплатят все пропущенные индексации пенсий: названа дата</w:t>
        </w:r>
        <w:r>
          <w:rPr>
            <w:noProof/>
            <w:webHidden/>
          </w:rPr>
          <w:tab/>
        </w:r>
        <w:r>
          <w:rPr>
            <w:noProof/>
            <w:webHidden/>
          </w:rPr>
          <w:fldChar w:fldCharType="begin"/>
        </w:r>
        <w:r>
          <w:rPr>
            <w:noProof/>
            <w:webHidden/>
          </w:rPr>
          <w:instrText xml:space="preserve"> PAGEREF _Toc198618897 \h </w:instrText>
        </w:r>
        <w:r>
          <w:rPr>
            <w:noProof/>
            <w:webHidden/>
          </w:rPr>
        </w:r>
        <w:r>
          <w:rPr>
            <w:noProof/>
            <w:webHidden/>
          </w:rPr>
          <w:fldChar w:fldCharType="separate"/>
        </w:r>
        <w:r w:rsidR="004775B7">
          <w:rPr>
            <w:noProof/>
            <w:webHidden/>
          </w:rPr>
          <w:t>40</w:t>
        </w:r>
        <w:r>
          <w:rPr>
            <w:noProof/>
            <w:webHidden/>
          </w:rPr>
          <w:fldChar w:fldCharType="end"/>
        </w:r>
      </w:hyperlink>
    </w:p>
    <w:p w14:paraId="6A74DDDA" w14:textId="25394E2A" w:rsidR="00A03AE7" w:rsidRDefault="00A03AE7">
      <w:pPr>
        <w:pStyle w:val="31"/>
        <w:rPr>
          <w:rFonts w:ascii="Calibri" w:hAnsi="Calibri"/>
          <w:kern w:val="2"/>
        </w:rPr>
      </w:pPr>
      <w:hyperlink w:anchor="_Toc198618898" w:history="1">
        <w:r w:rsidRPr="000A1A03">
          <w:rPr>
            <w:rStyle w:val="a3"/>
          </w:rPr>
          <w:t>Пенсионерам сообщили о всех пропущенных индексациях пенсий, которые будут выплачены многим гражданам в ближайшее время. Ожидать такой бонус пожилые люди смогут сразу после увольнения. Недавно этот процесс стал значительно проще для пенсионеров, как отметил пенсионный эксперт Сергей Власов, сообщает PRIMPRESS.</w:t>
        </w:r>
        <w:r>
          <w:rPr>
            <w:webHidden/>
          </w:rPr>
          <w:tab/>
        </w:r>
        <w:r>
          <w:rPr>
            <w:webHidden/>
          </w:rPr>
          <w:fldChar w:fldCharType="begin"/>
        </w:r>
        <w:r>
          <w:rPr>
            <w:webHidden/>
          </w:rPr>
          <w:instrText xml:space="preserve"> PAGEREF _Toc198618898 \h </w:instrText>
        </w:r>
        <w:r>
          <w:rPr>
            <w:webHidden/>
          </w:rPr>
        </w:r>
        <w:r>
          <w:rPr>
            <w:webHidden/>
          </w:rPr>
          <w:fldChar w:fldCharType="separate"/>
        </w:r>
        <w:r w:rsidR="004775B7">
          <w:rPr>
            <w:webHidden/>
          </w:rPr>
          <w:t>40</w:t>
        </w:r>
        <w:r>
          <w:rPr>
            <w:webHidden/>
          </w:rPr>
          <w:fldChar w:fldCharType="end"/>
        </w:r>
      </w:hyperlink>
    </w:p>
    <w:p w14:paraId="206FEE2E" w14:textId="7DEFDB1C" w:rsidR="00A03AE7" w:rsidRDefault="00A03AE7">
      <w:pPr>
        <w:pStyle w:val="21"/>
        <w:tabs>
          <w:tab w:val="right" w:leader="dot" w:pos="9061"/>
        </w:tabs>
        <w:rPr>
          <w:rFonts w:ascii="Calibri" w:hAnsi="Calibri"/>
          <w:noProof/>
          <w:kern w:val="2"/>
        </w:rPr>
      </w:pPr>
      <w:hyperlink w:anchor="_Toc198618899" w:history="1">
        <w:r w:rsidRPr="000A1A03">
          <w:rPr>
            <w:rStyle w:val="a3"/>
            <w:noProof/>
          </w:rPr>
          <w:t>Globalmsk.ru, 19.05.2025, Средний размер выплат трудоустроенным пенсионерам увеличился на 150 рублей</w:t>
        </w:r>
        <w:r>
          <w:rPr>
            <w:noProof/>
            <w:webHidden/>
          </w:rPr>
          <w:tab/>
        </w:r>
        <w:r>
          <w:rPr>
            <w:noProof/>
            <w:webHidden/>
          </w:rPr>
          <w:fldChar w:fldCharType="begin"/>
        </w:r>
        <w:r>
          <w:rPr>
            <w:noProof/>
            <w:webHidden/>
          </w:rPr>
          <w:instrText xml:space="preserve"> PAGEREF _Toc198618899 \h </w:instrText>
        </w:r>
        <w:r>
          <w:rPr>
            <w:noProof/>
            <w:webHidden/>
          </w:rPr>
        </w:r>
        <w:r>
          <w:rPr>
            <w:noProof/>
            <w:webHidden/>
          </w:rPr>
          <w:fldChar w:fldCharType="separate"/>
        </w:r>
        <w:r w:rsidR="004775B7">
          <w:rPr>
            <w:noProof/>
            <w:webHidden/>
          </w:rPr>
          <w:t>40</w:t>
        </w:r>
        <w:r>
          <w:rPr>
            <w:noProof/>
            <w:webHidden/>
          </w:rPr>
          <w:fldChar w:fldCharType="end"/>
        </w:r>
      </w:hyperlink>
    </w:p>
    <w:p w14:paraId="01112977" w14:textId="5A7A5E2B" w:rsidR="00A03AE7" w:rsidRDefault="00A03AE7">
      <w:pPr>
        <w:pStyle w:val="31"/>
        <w:rPr>
          <w:rFonts w:ascii="Calibri" w:hAnsi="Calibri"/>
          <w:kern w:val="2"/>
        </w:rPr>
      </w:pPr>
      <w:hyperlink w:anchor="_Toc198618900" w:history="1">
        <w:r w:rsidRPr="000A1A03">
          <w:rPr>
            <w:rStyle w:val="a3"/>
          </w:rPr>
          <w:t>Средний размер страховой пенсии работающих пожилых граждан России за первые три месяца текущего года увеличился на 150 рублей и достиг отметки в 22 тысячи рублей. Это первые результаты индексации выплат, которые правительство возобновило в этом году.</w:t>
        </w:r>
        <w:r>
          <w:rPr>
            <w:webHidden/>
          </w:rPr>
          <w:tab/>
        </w:r>
        <w:r>
          <w:rPr>
            <w:webHidden/>
          </w:rPr>
          <w:fldChar w:fldCharType="begin"/>
        </w:r>
        <w:r>
          <w:rPr>
            <w:webHidden/>
          </w:rPr>
          <w:instrText xml:space="preserve"> PAGEREF _Toc198618900 \h </w:instrText>
        </w:r>
        <w:r>
          <w:rPr>
            <w:webHidden/>
          </w:rPr>
        </w:r>
        <w:r>
          <w:rPr>
            <w:webHidden/>
          </w:rPr>
          <w:fldChar w:fldCharType="separate"/>
        </w:r>
        <w:r w:rsidR="004775B7">
          <w:rPr>
            <w:webHidden/>
          </w:rPr>
          <w:t>40</w:t>
        </w:r>
        <w:r>
          <w:rPr>
            <w:webHidden/>
          </w:rPr>
          <w:fldChar w:fldCharType="end"/>
        </w:r>
      </w:hyperlink>
    </w:p>
    <w:p w14:paraId="0A706A0A" w14:textId="528004BE" w:rsidR="00A03AE7" w:rsidRDefault="00A03AE7">
      <w:pPr>
        <w:pStyle w:val="21"/>
        <w:tabs>
          <w:tab w:val="right" w:leader="dot" w:pos="9061"/>
        </w:tabs>
        <w:rPr>
          <w:rFonts w:ascii="Calibri" w:hAnsi="Calibri"/>
          <w:noProof/>
          <w:kern w:val="2"/>
        </w:rPr>
      </w:pPr>
      <w:hyperlink w:anchor="_Toc198618901" w:history="1">
        <w:r w:rsidRPr="000A1A03">
          <w:rPr>
            <w:rStyle w:val="a3"/>
            <w:noProof/>
          </w:rPr>
          <w:t>Пенсия.pro, 19.05.2025, Ученые назвали главный вызов для будущего пенсионной системы России</w:t>
        </w:r>
        <w:r>
          <w:rPr>
            <w:noProof/>
            <w:webHidden/>
          </w:rPr>
          <w:tab/>
        </w:r>
        <w:r>
          <w:rPr>
            <w:noProof/>
            <w:webHidden/>
          </w:rPr>
          <w:fldChar w:fldCharType="begin"/>
        </w:r>
        <w:r>
          <w:rPr>
            <w:noProof/>
            <w:webHidden/>
          </w:rPr>
          <w:instrText xml:space="preserve"> PAGEREF _Toc198618901 \h </w:instrText>
        </w:r>
        <w:r>
          <w:rPr>
            <w:noProof/>
            <w:webHidden/>
          </w:rPr>
        </w:r>
        <w:r>
          <w:rPr>
            <w:noProof/>
            <w:webHidden/>
          </w:rPr>
          <w:fldChar w:fldCharType="separate"/>
        </w:r>
        <w:r w:rsidR="004775B7">
          <w:rPr>
            <w:noProof/>
            <w:webHidden/>
          </w:rPr>
          <w:t>42</w:t>
        </w:r>
        <w:r>
          <w:rPr>
            <w:noProof/>
            <w:webHidden/>
          </w:rPr>
          <w:fldChar w:fldCharType="end"/>
        </w:r>
      </w:hyperlink>
    </w:p>
    <w:p w14:paraId="15A0B0C4" w14:textId="64C1F0B1" w:rsidR="00A03AE7" w:rsidRDefault="00A03AE7">
      <w:pPr>
        <w:pStyle w:val="31"/>
        <w:rPr>
          <w:rFonts w:ascii="Calibri" w:hAnsi="Calibri"/>
          <w:kern w:val="2"/>
        </w:rPr>
      </w:pPr>
      <w:hyperlink w:anchor="_Toc198618902" w:history="1">
        <w:r w:rsidRPr="000A1A03">
          <w:rPr>
            <w:rStyle w:val="a3"/>
          </w:rPr>
          <w:t>Когда рожденные в 1980-е годы люди начнут выходить на пенсию, российская экономика столкнется с серьезными вызовами, считают ученые Высшей школы экономики. Запросы будущих пенсионеров — гораздо выше, чем у нынешних, объяснили специалисты ВШЭ.</w:t>
        </w:r>
        <w:r>
          <w:rPr>
            <w:webHidden/>
          </w:rPr>
          <w:tab/>
        </w:r>
        <w:r>
          <w:rPr>
            <w:webHidden/>
          </w:rPr>
          <w:fldChar w:fldCharType="begin"/>
        </w:r>
        <w:r>
          <w:rPr>
            <w:webHidden/>
          </w:rPr>
          <w:instrText xml:space="preserve"> PAGEREF _Toc198618902 \h </w:instrText>
        </w:r>
        <w:r>
          <w:rPr>
            <w:webHidden/>
          </w:rPr>
        </w:r>
        <w:r>
          <w:rPr>
            <w:webHidden/>
          </w:rPr>
          <w:fldChar w:fldCharType="separate"/>
        </w:r>
        <w:r w:rsidR="004775B7">
          <w:rPr>
            <w:webHidden/>
          </w:rPr>
          <w:t>42</w:t>
        </w:r>
        <w:r>
          <w:rPr>
            <w:webHidden/>
          </w:rPr>
          <w:fldChar w:fldCharType="end"/>
        </w:r>
      </w:hyperlink>
    </w:p>
    <w:p w14:paraId="50AA17D8" w14:textId="2D546CE3" w:rsidR="00A03AE7" w:rsidRDefault="00A03AE7">
      <w:pPr>
        <w:pStyle w:val="21"/>
        <w:tabs>
          <w:tab w:val="right" w:leader="dot" w:pos="9061"/>
        </w:tabs>
        <w:rPr>
          <w:rFonts w:ascii="Calibri" w:hAnsi="Calibri"/>
          <w:noProof/>
          <w:kern w:val="2"/>
        </w:rPr>
      </w:pPr>
      <w:hyperlink w:anchor="_Toc198618903" w:history="1">
        <w:r w:rsidRPr="000A1A03">
          <w:rPr>
            <w:rStyle w:val="a3"/>
            <w:noProof/>
          </w:rPr>
          <w:t>Пенсия.pro, 19.05.2025, Какой будет пенсия, если вам сейчас 30-50 лет? Подробный расчет</w:t>
        </w:r>
        <w:r>
          <w:rPr>
            <w:noProof/>
            <w:webHidden/>
          </w:rPr>
          <w:tab/>
        </w:r>
        <w:r>
          <w:rPr>
            <w:noProof/>
            <w:webHidden/>
          </w:rPr>
          <w:fldChar w:fldCharType="begin"/>
        </w:r>
        <w:r>
          <w:rPr>
            <w:noProof/>
            <w:webHidden/>
          </w:rPr>
          <w:instrText xml:space="preserve"> PAGEREF _Toc198618903 \h </w:instrText>
        </w:r>
        <w:r>
          <w:rPr>
            <w:noProof/>
            <w:webHidden/>
          </w:rPr>
        </w:r>
        <w:r>
          <w:rPr>
            <w:noProof/>
            <w:webHidden/>
          </w:rPr>
          <w:fldChar w:fldCharType="separate"/>
        </w:r>
        <w:r w:rsidR="004775B7">
          <w:rPr>
            <w:noProof/>
            <w:webHidden/>
          </w:rPr>
          <w:t>42</w:t>
        </w:r>
        <w:r>
          <w:rPr>
            <w:noProof/>
            <w:webHidden/>
          </w:rPr>
          <w:fldChar w:fldCharType="end"/>
        </w:r>
      </w:hyperlink>
    </w:p>
    <w:p w14:paraId="2861AA5A" w14:textId="6C439498" w:rsidR="00A03AE7" w:rsidRDefault="00A03AE7">
      <w:pPr>
        <w:pStyle w:val="31"/>
        <w:rPr>
          <w:rFonts w:ascii="Calibri" w:hAnsi="Calibri"/>
          <w:kern w:val="2"/>
        </w:rPr>
      </w:pPr>
      <w:hyperlink w:anchor="_Toc198618904" w:history="1">
        <w:r w:rsidRPr="000A1A03">
          <w:rPr>
            <w:rStyle w:val="a3"/>
          </w:rPr>
          <w:t>В этом году средняя пенсия россиянина составит около 24 000 рублей. Сумма, прямо скажем, скромная. А что будет в будущем? Ничего хорошего? Предугадать можно, если разобраться в том, по каким правилам Соцфонд делает начисления. Рассчитали, какие выплаты назначат в 2034, 2044 и 2054 годах и объясняем, как сделать расчет самостоятельно.</w:t>
        </w:r>
        <w:r>
          <w:rPr>
            <w:webHidden/>
          </w:rPr>
          <w:tab/>
        </w:r>
        <w:r>
          <w:rPr>
            <w:webHidden/>
          </w:rPr>
          <w:fldChar w:fldCharType="begin"/>
        </w:r>
        <w:r>
          <w:rPr>
            <w:webHidden/>
          </w:rPr>
          <w:instrText xml:space="preserve"> PAGEREF _Toc198618904 \h </w:instrText>
        </w:r>
        <w:r>
          <w:rPr>
            <w:webHidden/>
          </w:rPr>
        </w:r>
        <w:r>
          <w:rPr>
            <w:webHidden/>
          </w:rPr>
          <w:fldChar w:fldCharType="separate"/>
        </w:r>
        <w:r w:rsidR="004775B7">
          <w:rPr>
            <w:webHidden/>
          </w:rPr>
          <w:t>42</w:t>
        </w:r>
        <w:r>
          <w:rPr>
            <w:webHidden/>
          </w:rPr>
          <w:fldChar w:fldCharType="end"/>
        </w:r>
      </w:hyperlink>
    </w:p>
    <w:p w14:paraId="45D0F7A4" w14:textId="184FBC1B" w:rsidR="00A03AE7" w:rsidRDefault="00A03AE7">
      <w:pPr>
        <w:pStyle w:val="21"/>
        <w:tabs>
          <w:tab w:val="right" w:leader="dot" w:pos="9061"/>
        </w:tabs>
        <w:rPr>
          <w:rFonts w:ascii="Calibri" w:hAnsi="Calibri"/>
          <w:noProof/>
          <w:kern w:val="2"/>
        </w:rPr>
      </w:pPr>
      <w:hyperlink w:anchor="_Toc198618905" w:history="1">
        <w:r w:rsidRPr="000A1A03">
          <w:rPr>
            <w:rStyle w:val="a3"/>
            <w:noProof/>
          </w:rPr>
          <w:t>DEITA.RU, 19.05.2025, Из-за каких ошибок россияне теряют деньги, объяснили в Сбербанке</w:t>
        </w:r>
        <w:r>
          <w:rPr>
            <w:noProof/>
            <w:webHidden/>
          </w:rPr>
          <w:tab/>
        </w:r>
        <w:r>
          <w:rPr>
            <w:noProof/>
            <w:webHidden/>
          </w:rPr>
          <w:fldChar w:fldCharType="begin"/>
        </w:r>
        <w:r>
          <w:rPr>
            <w:noProof/>
            <w:webHidden/>
          </w:rPr>
          <w:instrText xml:space="preserve"> PAGEREF _Toc198618905 \h </w:instrText>
        </w:r>
        <w:r>
          <w:rPr>
            <w:noProof/>
            <w:webHidden/>
          </w:rPr>
        </w:r>
        <w:r>
          <w:rPr>
            <w:noProof/>
            <w:webHidden/>
          </w:rPr>
          <w:fldChar w:fldCharType="separate"/>
        </w:r>
        <w:r w:rsidR="004775B7">
          <w:rPr>
            <w:noProof/>
            <w:webHidden/>
          </w:rPr>
          <w:t>47</w:t>
        </w:r>
        <w:r>
          <w:rPr>
            <w:noProof/>
            <w:webHidden/>
          </w:rPr>
          <w:fldChar w:fldCharType="end"/>
        </w:r>
      </w:hyperlink>
    </w:p>
    <w:p w14:paraId="7CB92A36" w14:textId="24A3048E" w:rsidR="00A03AE7" w:rsidRDefault="00A03AE7">
      <w:pPr>
        <w:pStyle w:val="31"/>
        <w:rPr>
          <w:rFonts w:ascii="Calibri" w:hAnsi="Calibri"/>
          <w:kern w:val="2"/>
        </w:rPr>
      </w:pPr>
      <w:hyperlink w:anchor="_Toc198618906" w:history="1">
        <w:r w:rsidRPr="000A1A03">
          <w:rPr>
            <w:rStyle w:val="a3"/>
          </w:rPr>
          <w:t>Неиспользование накопительной пенсии, отказ от налоговых льгот и недооценка корпоративных пенсионных программ могут существенно негативно сказаться на финансовом состоянии человека. Об этом рассказала исполнительный директор «СберНПФ» Алла Пальшина, как сообщает ИА DEITA.RU.</w:t>
        </w:r>
        <w:r>
          <w:rPr>
            <w:webHidden/>
          </w:rPr>
          <w:tab/>
        </w:r>
        <w:r>
          <w:rPr>
            <w:webHidden/>
          </w:rPr>
          <w:fldChar w:fldCharType="begin"/>
        </w:r>
        <w:r>
          <w:rPr>
            <w:webHidden/>
          </w:rPr>
          <w:instrText xml:space="preserve"> PAGEREF _Toc198618906 \h </w:instrText>
        </w:r>
        <w:r>
          <w:rPr>
            <w:webHidden/>
          </w:rPr>
        </w:r>
        <w:r>
          <w:rPr>
            <w:webHidden/>
          </w:rPr>
          <w:fldChar w:fldCharType="separate"/>
        </w:r>
        <w:r w:rsidR="004775B7">
          <w:rPr>
            <w:webHidden/>
          </w:rPr>
          <w:t>47</w:t>
        </w:r>
        <w:r>
          <w:rPr>
            <w:webHidden/>
          </w:rPr>
          <w:fldChar w:fldCharType="end"/>
        </w:r>
      </w:hyperlink>
    </w:p>
    <w:p w14:paraId="66955F70" w14:textId="201956C2" w:rsidR="00A03AE7" w:rsidRDefault="00A03AE7">
      <w:pPr>
        <w:pStyle w:val="21"/>
        <w:tabs>
          <w:tab w:val="right" w:leader="dot" w:pos="9061"/>
        </w:tabs>
        <w:rPr>
          <w:rFonts w:ascii="Calibri" w:hAnsi="Calibri"/>
          <w:noProof/>
          <w:kern w:val="2"/>
        </w:rPr>
      </w:pPr>
      <w:hyperlink w:anchor="_Toc198618907" w:history="1">
        <w:r w:rsidRPr="000A1A03">
          <w:rPr>
            <w:rStyle w:val="a3"/>
            <w:noProof/>
          </w:rPr>
          <w:t>Пенсия.pro, 19.05.2025, Пенсионный возраст могут повысить до 80 лет — ВЦИОМ</w:t>
        </w:r>
        <w:r>
          <w:rPr>
            <w:noProof/>
            <w:webHidden/>
          </w:rPr>
          <w:tab/>
        </w:r>
        <w:r>
          <w:rPr>
            <w:noProof/>
            <w:webHidden/>
          </w:rPr>
          <w:fldChar w:fldCharType="begin"/>
        </w:r>
        <w:r>
          <w:rPr>
            <w:noProof/>
            <w:webHidden/>
          </w:rPr>
          <w:instrText xml:space="preserve"> PAGEREF _Toc198618907 \h </w:instrText>
        </w:r>
        <w:r>
          <w:rPr>
            <w:noProof/>
            <w:webHidden/>
          </w:rPr>
        </w:r>
        <w:r>
          <w:rPr>
            <w:noProof/>
            <w:webHidden/>
          </w:rPr>
          <w:fldChar w:fldCharType="separate"/>
        </w:r>
        <w:r w:rsidR="004775B7">
          <w:rPr>
            <w:noProof/>
            <w:webHidden/>
          </w:rPr>
          <w:t>48</w:t>
        </w:r>
        <w:r>
          <w:rPr>
            <w:noProof/>
            <w:webHidden/>
          </w:rPr>
          <w:fldChar w:fldCharType="end"/>
        </w:r>
      </w:hyperlink>
    </w:p>
    <w:p w14:paraId="0B7B356A" w14:textId="3F1B3805" w:rsidR="00A03AE7" w:rsidRDefault="00A03AE7">
      <w:pPr>
        <w:pStyle w:val="31"/>
        <w:rPr>
          <w:rFonts w:ascii="Calibri" w:hAnsi="Calibri"/>
          <w:kern w:val="2"/>
        </w:rPr>
      </w:pPr>
      <w:hyperlink w:anchor="_Toc198618908" w:history="1">
        <w:r w:rsidRPr="000A1A03">
          <w:rPr>
            <w:rStyle w:val="a3"/>
          </w:rPr>
          <w:t>Всероссийский центр изучения общественного мнения (ВЦИОМ) составил четырех демографических сценария, которые ждут Россию в ближайшие десятилетия. Ни один из них не является абсолютно хорошим или абсолютно плохим. Сейчас, по мнению экспертов ВЦИОМ, страна переживает «демографическую осень».</w:t>
        </w:r>
        <w:r>
          <w:rPr>
            <w:webHidden/>
          </w:rPr>
          <w:tab/>
        </w:r>
        <w:r>
          <w:rPr>
            <w:webHidden/>
          </w:rPr>
          <w:fldChar w:fldCharType="begin"/>
        </w:r>
        <w:r>
          <w:rPr>
            <w:webHidden/>
          </w:rPr>
          <w:instrText xml:space="preserve"> PAGEREF _Toc198618908 \h </w:instrText>
        </w:r>
        <w:r>
          <w:rPr>
            <w:webHidden/>
          </w:rPr>
        </w:r>
        <w:r>
          <w:rPr>
            <w:webHidden/>
          </w:rPr>
          <w:fldChar w:fldCharType="separate"/>
        </w:r>
        <w:r w:rsidR="004775B7">
          <w:rPr>
            <w:webHidden/>
          </w:rPr>
          <w:t>48</w:t>
        </w:r>
        <w:r>
          <w:rPr>
            <w:webHidden/>
          </w:rPr>
          <w:fldChar w:fldCharType="end"/>
        </w:r>
      </w:hyperlink>
    </w:p>
    <w:p w14:paraId="10BCE24D" w14:textId="60051164" w:rsidR="00A03AE7" w:rsidRDefault="00A03AE7">
      <w:pPr>
        <w:pStyle w:val="21"/>
        <w:tabs>
          <w:tab w:val="right" w:leader="dot" w:pos="9061"/>
        </w:tabs>
        <w:rPr>
          <w:rFonts w:ascii="Calibri" w:hAnsi="Calibri"/>
          <w:noProof/>
          <w:kern w:val="2"/>
        </w:rPr>
      </w:pPr>
      <w:hyperlink w:anchor="_Toc198618909" w:history="1">
        <w:r w:rsidRPr="000A1A03">
          <w:rPr>
            <w:rStyle w:val="a3"/>
            <w:noProof/>
          </w:rPr>
          <w:t>АиФ, 19.05.2025, Уже в августе. Озвучено, насколько вырастут пенсии работающих пенсионеров</w:t>
        </w:r>
        <w:r>
          <w:rPr>
            <w:noProof/>
            <w:webHidden/>
          </w:rPr>
          <w:tab/>
        </w:r>
        <w:r>
          <w:rPr>
            <w:noProof/>
            <w:webHidden/>
          </w:rPr>
          <w:fldChar w:fldCharType="begin"/>
        </w:r>
        <w:r>
          <w:rPr>
            <w:noProof/>
            <w:webHidden/>
          </w:rPr>
          <w:instrText xml:space="preserve"> PAGEREF _Toc198618909 \h </w:instrText>
        </w:r>
        <w:r>
          <w:rPr>
            <w:noProof/>
            <w:webHidden/>
          </w:rPr>
        </w:r>
        <w:r>
          <w:rPr>
            <w:noProof/>
            <w:webHidden/>
          </w:rPr>
          <w:fldChar w:fldCharType="separate"/>
        </w:r>
        <w:r w:rsidR="004775B7">
          <w:rPr>
            <w:noProof/>
            <w:webHidden/>
          </w:rPr>
          <w:t>49</w:t>
        </w:r>
        <w:r>
          <w:rPr>
            <w:noProof/>
            <w:webHidden/>
          </w:rPr>
          <w:fldChar w:fldCharType="end"/>
        </w:r>
      </w:hyperlink>
    </w:p>
    <w:p w14:paraId="39425FB1" w14:textId="6A976AF5" w:rsidR="00A03AE7" w:rsidRDefault="00A03AE7">
      <w:pPr>
        <w:pStyle w:val="31"/>
        <w:rPr>
          <w:rFonts w:ascii="Calibri" w:hAnsi="Calibri"/>
          <w:kern w:val="2"/>
        </w:rPr>
      </w:pPr>
      <w:hyperlink w:anchor="_Toc198618910" w:history="1">
        <w:r w:rsidRPr="000A1A03">
          <w:rPr>
            <w:rStyle w:val="a3"/>
          </w:rPr>
          <w:t>Пенсии работающих пенсионеров с 1 августа вырастут минимум на 64 рубля, а максимум - на 400. Об этом aif.ru рассказала доцент базовой кафедры Торгово-промышленной палаты РФ «Управление человеческими ресурсами» РЭУ имени Плеханова Людмила Иванова-Швец.</w:t>
        </w:r>
        <w:r>
          <w:rPr>
            <w:webHidden/>
          </w:rPr>
          <w:tab/>
        </w:r>
        <w:r>
          <w:rPr>
            <w:webHidden/>
          </w:rPr>
          <w:fldChar w:fldCharType="begin"/>
        </w:r>
        <w:r>
          <w:rPr>
            <w:webHidden/>
          </w:rPr>
          <w:instrText xml:space="preserve"> PAGEREF _Toc198618910 \h </w:instrText>
        </w:r>
        <w:r>
          <w:rPr>
            <w:webHidden/>
          </w:rPr>
        </w:r>
        <w:r>
          <w:rPr>
            <w:webHidden/>
          </w:rPr>
          <w:fldChar w:fldCharType="separate"/>
        </w:r>
        <w:r w:rsidR="004775B7">
          <w:rPr>
            <w:webHidden/>
          </w:rPr>
          <w:t>49</w:t>
        </w:r>
        <w:r>
          <w:rPr>
            <w:webHidden/>
          </w:rPr>
          <w:fldChar w:fldCharType="end"/>
        </w:r>
      </w:hyperlink>
    </w:p>
    <w:p w14:paraId="425DDA39" w14:textId="6B8F8DA6" w:rsidR="00A03AE7" w:rsidRDefault="00A03AE7">
      <w:pPr>
        <w:pStyle w:val="21"/>
        <w:tabs>
          <w:tab w:val="right" w:leader="dot" w:pos="9061"/>
        </w:tabs>
        <w:rPr>
          <w:rFonts w:ascii="Calibri" w:hAnsi="Calibri"/>
          <w:noProof/>
          <w:kern w:val="2"/>
        </w:rPr>
      </w:pPr>
      <w:hyperlink w:anchor="_Toc198618911" w:history="1">
        <w:r w:rsidRPr="000A1A03">
          <w:rPr>
            <w:rStyle w:val="a3"/>
            <w:noProof/>
          </w:rPr>
          <w:t>Выберу.ру, 19.05.2025, Не только Сбербанк. Пенсию можно будет получать в любом банке</w:t>
        </w:r>
        <w:r>
          <w:rPr>
            <w:noProof/>
            <w:webHidden/>
          </w:rPr>
          <w:tab/>
        </w:r>
        <w:r>
          <w:rPr>
            <w:noProof/>
            <w:webHidden/>
          </w:rPr>
          <w:fldChar w:fldCharType="begin"/>
        </w:r>
        <w:r>
          <w:rPr>
            <w:noProof/>
            <w:webHidden/>
          </w:rPr>
          <w:instrText xml:space="preserve"> PAGEREF _Toc198618911 \h </w:instrText>
        </w:r>
        <w:r>
          <w:rPr>
            <w:noProof/>
            <w:webHidden/>
          </w:rPr>
        </w:r>
        <w:r>
          <w:rPr>
            <w:noProof/>
            <w:webHidden/>
          </w:rPr>
          <w:fldChar w:fldCharType="separate"/>
        </w:r>
        <w:r w:rsidR="004775B7">
          <w:rPr>
            <w:noProof/>
            <w:webHidden/>
          </w:rPr>
          <w:t>50</w:t>
        </w:r>
        <w:r>
          <w:rPr>
            <w:noProof/>
            <w:webHidden/>
          </w:rPr>
          <w:fldChar w:fldCharType="end"/>
        </w:r>
      </w:hyperlink>
    </w:p>
    <w:p w14:paraId="25899D24" w14:textId="39251FA5" w:rsidR="00A03AE7" w:rsidRDefault="00A03AE7">
      <w:pPr>
        <w:pStyle w:val="31"/>
        <w:rPr>
          <w:rFonts w:ascii="Calibri" w:hAnsi="Calibri"/>
          <w:kern w:val="2"/>
        </w:rPr>
      </w:pPr>
      <w:hyperlink w:anchor="_Toc198618912" w:history="1">
        <w:r w:rsidRPr="000A1A03">
          <w:rPr>
            <w:rStyle w:val="a3"/>
          </w:rPr>
          <w:t>«Пенсионное рабство» отменили давно. По закону пенсию или пособие можно получать на карту, выпущенную любым банком. Главное, что бы эта была карта «Мир». Но есть нюанс. У банка должен быть договор с Социальным фондом России или пенсионным отделом силового ведомства, если речь идёт о военной пенсии. А заключить его не так-то просто. В итоге пенсионеры и получатели пособий ограничены несколькими банками. ЦБ и ФАС планируют положить конец этому «пенсионному квазирабству».</w:t>
        </w:r>
        <w:r>
          <w:rPr>
            <w:webHidden/>
          </w:rPr>
          <w:tab/>
        </w:r>
        <w:r>
          <w:rPr>
            <w:webHidden/>
          </w:rPr>
          <w:fldChar w:fldCharType="begin"/>
        </w:r>
        <w:r>
          <w:rPr>
            <w:webHidden/>
          </w:rPr>
          <w:instrText xml:space="preserve"> PAGEREF _Toc198618912 \h </w:instrText>
        </w:r>
        <w:r>
          <w:rPr>
            <w:webHidden/>
          </w:rPr>
        </w:r>
        <w:r>
          <w:rPr>
            <w:webHidden/>
          </w:rPr>
          <w:fldChar w:fldCharType="separate"/>
        </w:r>
        <w:r w:rsidR="004775B7">
          <w:rPr>
            <w:webHidden/>
          </w:rPr>
          <w:t>50</w:t>
        </w:r>
        <w:r>
          <w:rPr>
            <w:webHidden/>
          </w:rPr>
          <w:fldChar w:fldCharType="end"/>
        </w:r>
      </w:hyperlink>
    </w:p>
    <w:p w14:paraId="2B5E3F27" w14:textId="740A388C" w:rsidR="00A03AE7" w:rsidRDefault="00A03AE7">
      <w:pPr>
        <w:pStyle w:val="21"/>
        <w:tabs>
          <w:tab w:val="right" w:leader="dot" w:pos="9061"/>
        </w:tabs>
        <w:rPr>
          <w:rFonts w:ascii="Calibri" w:hAnsi="Calibri"/>
          <w:noProof/>
          <w:kern w:val="2"/>
        </w:rPr>
      </w:pPr>
      <w:hyperlink w:anchor="_Toc198618913" w:history="1">
        <w:r w:rsidRPr="000A1A03">
          <w:rPr>
            <w:rStyle w:val="a3"/>
            <w:noProof/>
          </w:rPr>
          <w:t>МК, 20.05.2025, Разрыв пенсионного шаблона</w:t>
        </w:r>
        <w:r>
          <w:rPr>
            <w:noProof/>
            <w:webHidden/>
          </w:rPr>
          <w:tab/>
        </w:r>
        <w:r>
          <w:rPr>
            <w:noProof/>
            <w:webHidden/>
          </w:rPr>
          <w:fldChar w:fldCharType="begin"/>
        </w:r>
        <w:r>
          <w:rPr>
            <w:noProof/>
            <w:webHidden/>
          </w:rPr>
          <w:instrText xml:space="preserve"> PAGEREF _Toc198618913 \h </w:instrText>
        </w:r>
        <w:r>
          <w:rPr>
            <w:noProof/>
            <w:webHidden/>
          </w:rPr>
        </w:r>
        <w:r>
          <w:rPr>
            <w:noProof/>
            <w:webHidden/>
          </w:rPr>
          <w:fldChar w:fldCharType="separate"/>
        </w:r>
        <w:r w:rsidR="004775B7">
          <w:rPr>
            <w:noProof/>
            <w:webHidden/>
          </w:rPr>
          <w:t>50</w:t>
        </w:r>
        <w:r>
          <w:rPr>
            <w:noProof/>
            <w:webHidden/>
          </w:rPr>
          <w:fldChar w:fldCharType="end"/>
        </w:r>
      </w:hyperlink>
    </w:p>
    <w:p w14:paraId="59A9832C" w14:textId="705AE651" w:rsidR="00A03AE7" w:rsidRDefault="00A03AE7">
      <w:pPr>
        <w:pStyle w:val="31"/>
        <w:rPr>
          <w:rFonts w:ascii="Calibri" w:hAnsi="Calibri"/>
          <w:kern w:val="2"/>
        </w:rPr>
      </w:pPr>
      <w:hyperlink w:anchor="_Toc198618914" w:history="1">
        <w:r w:rsidRPr="000A1A03">
          <w:rPr>
            <w:rStyle w:val="a3"/>
          </w:rPr>
          <w:t>У работающих пенсионеров к 1 апрелю этого года пенсия выросла на 150 рублей, дойдя до 22 тыс. Об этом свидетельствуют данные Единой межведомственной информационно-статистической системы (ЕМИСС). При этом пенсия у работающих граждан оказалась почти на 3,8 тыс. рублей меньше суммы, которую получают незанятые россияне. Чем объясняется такой разрыв в государственных соцвыплатах и будет ли он в будущем сокращаться, «МК» выяснил у экспертов.</w:t>
        </w:r>
        <w:r>
          <w:rPr>
            <w:webHidden/>
          </w:rPr>
          <w:tab/>
        </w:r>
        <w:r>
          <w:rPr>
            <w:webHidden/>
          </w:rPr>
          <w:fldChar w:fldCharType="begin"/>
        </w:r>
        <w:r>
          <w:rPr>
            <w:webHidden/>
          </w:rPr>
          <w:instrText xml:space="preserve"> PAGEREF _Toc198618914 \h </w:instrText>
        </w:r>
        <w:r>
          <w:rPr>
            <w:webHidden/>
          </w:rPr>
        </w:r>
        <w:r>
          <w:rPr>
            <w:webHidden/>
          </w:rPr>
          <w:fldChar w:fldCharType="separate"/>
        </w:r>
        <w:r w:rsidR="004775B7">
          <w:rPr>
            <w:webHidden/>
          </w:rPr>
          <w:t>50</w:t>
        </w:r>
        <w:r>
          <w:rPr>
            <w:webHidden/>
          </w:rPr>
          <w:fldChar w:fldCharType="end"/>
        </w:r>
      </w:hyperlink>
    </w:p>
    <w:p w14:paraId="571A1E2D" w14:textId="196EF8CA" w:rsidR="00A03AE7" w:rsidRDefault="00A03AE7">
      <w:pPr>
        <w:pStyle w:val="21"/>
        <w:tabs>
          <w:tab w:val="right" w:leader="dot" w:pos="9061"/>
        </w:tabs>
        <w:rPr>
          <w:rFonts w:ascii="Calibri" w:hAnsi="Calibri"/>
          <w:noProof/>
          <w:kern w:val="2"/>
        </w:rPr>
      </w:pPr>
      <w:hyperlink w:anchor="_Toc198618915" w:history="1">
        <w:r w:rsidRPr="000A1A03">
          <w:rPr>
            <w:rStyle w:val="a3"/>
            <w:noProof/>
          </w:rPr>
          <w:t>Российская газета, 20.05.2025, В помощь детям</w:t>
        </w:r>
        <w:r>
          <w:rPr>
            <w:noProof/>
            <w:webHidden/>
          </w:rPr>
          <w:tab/>
        </w:r>
        <w:r>
          <w:rPr>
            <w:noProof/>
            <w:webHidden/>
          </w:rPr>
          <w:fldChar w:fldCharType="begin"/>
        </w:r>
        <w:r>
          <w:rPr>
            <w:noProof/>
            <w:webHidden/>
          </w:rPr>
          <w:instrText xml:space="preserve"> PAGEREF _Toc198618915 \h </w:instrText>
        </w:r>
        <w:r>
          <w:rPr>
            <w:noProof/>
            <w:webHidden/>
          </w:rPr>
        </w:r>
        <w:r>
          <w:rPr>
            <w:noProof/>
            <w:webHidden/>
          </w:rPr>
          <w:fldChar w:fldCharType="separate"/>
        </w:r>
        <w:r w:rsidR="004775B7">
          <w:rPr>
            <w:noProof/>
            <w:webHidden/>
          </w:rPr>
          <w:t>52</w:t>
        </w:r>
        <w:r>
          <w:rPr>
            <w:noProof/>
            <w:webHidden/>
          </w:rPr>
          <w:fldChar w:fldCharType="end"/>
        </w:r>
      </w:hyperlink>
    </w:p>
    <w:p w14:paraId="20049378" w14:textId="4AC69795" w:rsidR="00A03AE7" w:rsidRDefault="00A03AE7">
      <w:pPr>
        <w:pStyle w:val="31"/>
        <w:rPr>
          <w:rFonts w:ascii="Calibri" w:hAnsi="Calibri"/>
          <w:kern w:val="2"/>
        </w:rPr>
      </w:pPr>
      <w:hyperlink w:anchor="_Toc198618916" w:history="1">
        <w:r w:rsidRPr="000A1A03">
          <w:rPr>
            <w:rStyle w:val="a3"/>
          </w:rPr>
          <w:t>Пожилые люди, на иждивении которых находятся нетрудоспособные родственники, могут получать повышенную пенсию, если будут приняты поправки в законодательство, внесенные в Госдуму.</w:t>
        </w:r>
        <w:r>
          <w:rPr>
            <w:webHidden/>
          </w:rPr>
          <w:tab/>
        </w:r>
        <w:r>
          <w:rPr>
            <w:webHidden/>
          </w:rPr>
          <w:fldChar w:fldCharType="begin"/>
        </w:r>
        <w:r>
          <w:rPr>
            <w:webHidden/>
          </w:rPr>
          <w:instrText xml:space="preserve"> PAGEREF _Toc198618916 \h </w:instrText>
        </w:r>
        <w:r>
          <w:rPr>
            <w:webHidden/>
          </w:rPr>
        </w:r>
        <w:r>
          <w:rPr>
            <w:webHidden/>
          </w:rPr>
          <w:fldChar w:fldCharType="separate"/>
        </w:r>
        <w:r w:rsidR="004775B7">
          <w:rPr>
            <w:webHidden/>
          </w:rPr>
          <w:t>52</w:t>
        </w:r>
        <w:r>
          <w:rPr>
            <w:webHidden/>
          </w:rPr>
          <w:fldChar w:fldCharType="end"/>
        </w:r>
      </w:hyperlink>
    </w:p>
    <w:p w14:paraId="6A9A2461" w14:textId="2A8AD53A" w:rsidR="00A03AE7" w:rsidRDefault="00A03AE7">
      <w:pPr>
        <w:pStyle w:val="12"/>
        <w:tabs>
          <w:tab w:val="right" w:leader="dot" w:pos="9061"/>
        </w:tabs>
        <w:rPr>
          <w:rFonts w:ascii="Calibri" w:hAnsi="Calibri"/>
          <w:b w:val="0"/>
          <w:noProof/>
          <w:kern w:val="2"/>
          <w:sz w:val="24"/>
        </w:rPr>
      </w:pPr>
      <w:hyperlink w:anchor="_Toc198618917" w:history="1">
        <w:r w:rsidRPr="000A1A03">
          <w:rPr>
            <w:rStyle w:val="a3"/>
            <w:noProof/>
          </w:rPr>
          <w:t>Региональные СМИ</w:t>
        </w:r>
        <w:r>
          <w:rPr>
            <w:noProof/>
            <w:webHidden/>
          </w:rPr>
          <w:tab/>
        </w:r>
        <w:r>
          <w:rPr>
            <w:noProof/>
            <w:webHidden/>
          </w:rPr>
          <w:fldChar w:fldCharType="begin"/>
        </w:r>
        <w:r>
          <w:rPr>
            <w:noProof/>
            <w:webHidden/>
          </w:rPr>
          <w:instrText xml:space="preserve"> PAGEREF _Toc198618917 \h </w:instrText>
        </w:r>
        <w:r>
          <w:rPr>
            <w:noProof/>
            <w:webHidden/>
          </w:rPr>
        </w:r>
        <w:r>
          <w:rPr>
            <w:noProof/>
            <w:webHidden/>
          </w:rPr>
          <w:fldChar w:fldCharType="separate"/>
        </w:r>
        <w:r w:rsidR="004775B7">
          <w:rPr>
            <w:noProof/>
            <w:webHidden/>
          </w:rPr>
          <w:t>53</w:t>
        </w:r>
        <w:r>
          <w:rPr>
            <w:noProof/>
            <w:webHidden/>
          </w:rPr>
          <w:fldChar w:fldCharType="end"/>
        </w:r>
      </w:hyperlink>
    </w:p>
    <w:p w14:paraId="36728983" w14:textId="72D2DD11" w:rsidR="00A03AE7" w:rsidRDefault="00A03AE7">
      <w:pPr>
        <w:pStyle w:val="21"/>
        <w:tabs>
          <w:tab w:val="right" w:leader="dot" w:pos="9061"/>
        </w:tabs>
        <w:rPr>
          <w:rFonts w:ascii="Calibri" w:hAnsi="Calibri"/>
          <w:noProof/>
          <w:kern w:val="2"/>
        </w:rPr>
      </w:pPr>
      <w:hyperlink w:anchor="_Toc198618918" w:history="1">
        <w:r w:rsidRPr="000A1A03">
          <w:rPr>
            <w:rStyle w:val="a3"/>
            <w:noProof/>
          </w:rPr>
          <w:t>Коммерсантъ Черноземье, 19.05.2025, Жители Черноземья вложили 11,5 млрд рублей в программу долгосрочных сбережений</w:t>
        </w:r>
        <w:r>
          <w:rPr>
            <w:noProof/>
            <w:webHidden/>
          </w:rPr>
          <w:tab/>
        </w:r>
        <w:r>
          <w:rPr>
            <w:noProof/>
            <w:webHidden/>
          </w:rPr>
          <w:fldChar w:fldCharType="begin"/>
        </w:r>
        <w:r>
          <w:rPr>
            <w:noProof/>
            <w:webHidden/>
          </w:rPr>
          <w:instrText xml:space="preserve"> PAGEREF _Toc198618918 \h </w:instrText>
        </w:r>
        <w:r>
          <w:rPr>
            <w:noProof/>
            <w:webHidden/>
          </w:rPr>
        </w:r>
        <w:r>
          <w:rPr>
            <w:noProof/>
            <w:webHidden/>
          </w:rPr>
          <w:fldChar w:fldCharType="separate"/>
        </w:r>
        <w:r w:rsidR="004775B7">
          <w:rPr>
            <w:noProof/>
            <w:webHidden/>
          </w:rPr>
          <w:t>53</w:t>
        </w:r>
        <w:r>
          <w:rPr>
            <w:noProof/>
            <w:webHidden/>
          </w:rPr>
          <w:fldChar w:fldCharType="end"/>
        </w:r>
      </w:hyperlink>
    </w:p>
    <w:p w14:paraId="63122C1F" w14:textId="76671A3A" w:rsidR="00A03AE7" w:rsidRDefault="00A03AE7">
      <w:pPr>
        <w:pStyle w:val="31"/>
        <w:rPr>
          <w:rFonts w:ascii="Calibri" w:hAnsi="Calibri"/>
          <w:kern w:val="2"/>
        </w:rPr>
      </w:pPr>
      <w:hyperlink w:anchor="_Toc198618919" w:history="1">
        <w:r w:rsidRPr="000A1A03">
          <w:rPr>
            <w:rStyle w:val="a3"/>
          </w:rPr>
          <w:t>В первом квартале 2025 года жители Черноземья вложили 1,4 млрд руб. в программу долгосрочных сбережений, заключив 67,5 тыс. договоров с негосударственными пенсионными фондами (НПФ). Еще 4,6 млрд руб. с января по март перечислили по договорам, заключенным в прошлом году. Так, всего в макрорегионе с начала программы в нее было внесено порядка 11,5 млрд руб. Об этом сообщили в воронежском отделении Центробанка.</w:t>
        </w:r>
        <w:r>
          <w:rPr>
            <w:webHidden/>
          </w:rPr>
          <w:tab/>
        </w:r>
        <w:r>
          <w:rPr>
            <w:webHidden/>
          </w:rPr>
          <w:fldChar w:fldCharType="begin"/>
        </w:r>
        <w:r>
          <w:rPr>
            <w:webHidden/>
          </w:rPr>
          <w:instrText xml:space="preserve"> PAGEREF _Toc198618919 \h </w:instrText>
        </w:r>
        <w:r>
          <w:rPr>
            <w:webHidden/>
          </w:rPr>
        </w:r>
        <w:r>
          <w:rPr>
            <w:webHidden/>
          </w:rPr>
          <w:fldChar w:fldCharType="separate"/>
        </w:r>
        <w:r w:rsidR="004775B7">
          <w:rPr>
            <w:webHidden/>
          </w:rPr>
          <w:t>53</w:t>
        </w:r>
        <w:r>
          <w:rPr>
            <w:webHidden/>
          </w:rPr>
          <w:fldChar w:fldCharType="end"/>
        </w:r>
      </w:hyperlink>
    </w:p>
    <w:p w14:paraId="4B3390AE" w14:textId="230B4148" w:rsidR="00A03AE7" w:rsidRDefault="00A03AE7">
      <w:pPr>
        <w:pStyle w:val="21"/>
        <w:tabs>
          <w:tab w:val="right" w:leader="dot" w:pos="9061"/>
        </w:tabs>
        <w:rPr>
          <w:rFonts w:ascii="Calibri" w:hAnsi="Calibri"/>
          <w:noProof/>
          <w:kern w:val="2"/>
        </w:rPr>
      </w:pPr>
      <w:hyperlink w:anchor="_Toc198618920" w:history="1">
        <w:r w:rsidRPr="000A1A03">
          <w:rPr>
            <w:rStyle w:val="a3"/>
            <w:noProof/>
          </w:rPr>
          <w:t>ЯСИА, 20.05.2025, Откладывай на завтра: жители Якутии копят на будущее с программой долгосрочных сбережений</w:t>
        </w:r>
        <w:r>
          <w:rPr>
            <w:noProof/>
            <w:webHidden/>
          </w:rPr>
          <w:tab/>
        </w:r>
        <w:r>
          <w:rPr>
            <w:noProof/>
            <w:webHidden/>
          </w:rPr>
          <w:fldChar w:fldCharType="begin"/>
        </w:r>
        <w:r>
          <w:rPr>
            <w:noProof/>
            <w:webHidden/>
          </w:rPr>
          <w:instrText xml:space="preserve"> PAGEREF _Toc198618920 \h </w:instrText>
        </w:r>
        <w:r>
          <w:rPr>
            <w:noProof/>
            <w:webHidden/>
          </w:rPr>
        </w:r>
        <w:r>
          <w:rPr>
            <w:noProof/>
            <w:webHidden/>
          </w:rPr>
          <w:fldChar w:fldCharType="separate"/>
        </w:r>
        <w:r w:rsidR="004775B7">
          <w:rPr>
            <w:noProof/>
            <w:webHidden/>
          </w:rPr>
          <w:t>54</w:t>
        </w:r>
        <w:r>
          <w:rPr>
            <w:noProof/>
            <w:webHidden/>
          </w:rPr>
          <w:fldChar w:fldCharType="end"/>
        </w:r>
      </w:hyperlink>
    </w:p>
    <w:p w14:paraId="144240E0" w14:textId="45AED53E" w:rsidR="00A03AE7" w:rsidRDefault="00A03AE7">
      <w:pPr>
        <w:pStyle w:val="31"/>
        <w:rPr>
          <w:rFonts w:ascii="Calibri" w:hAnsi="Calibri"/>
          <w:kern w:val="2"/>
        </w:rPr>
      </w:pPr>
      <w:hyperlink w:anchor="_Toc198618921" w:history="1">
        <w:r w:rsidRPr="000A1A03">
          <w:rPr>
            <w:rStyle w:val="a3"/>
          </w:rPr>
          <w:t>С начала года жители Якутии заключили свыше 4 тыс. новых договоров по программе долгосрочных сбережений (ПДС) в СберНПФ, что превышает показатели аналогичного периода прошлого года на 50%.</w:t>
        </w:r>
        <w:r>
          <w:rPr>
            <w:webHidden/>
          </w:rPr>
          <w:tab/>
        </w:r>
        <w:r>
          <w:rPr>
            <w:webHidden/>
          </w:rPr>
          <w:fldChar w:fldCharType="begin"/>
        </w:r>
        <w:r>
          <w:rPr>
            <w:webHidden/>
          </w:rPr>
          <w:instrText xml:space="preserve"> PAGEREF _Toc198618921 \h </w:instrText>
        </w:r>
        <w:r>
          <w:rPr>
            <w:webHidden/>
          </w:rPr>
        </w:r>
        <w:r>
          <w:rPr>
            <w:webHidden/>
          </w:rPr>
          <w:fldChar w:fldCharType="separate"/>
        </w:r>
        <w:r w:rsidR="004775B7">
          <w:rPr>
            <w:webHidden/>
          </w:rPr>
          <w:t>54</w:t>
        </w:r>
        <w:r>
          <w:rPr>
            <w:webHidden/>
          </w:rPr>
          <w:fldChar w:fldCharType="end"/>
        </w:r>
      </w:hyperlink>
    </w:p>
    <w:p w14:paraId="4CBF86CC" w14:textId="6E777B4E" w:rsidR="00A03AE7" w:rsidRDefault="00A03AE7">
      <w:pPr>
        <w:pStyle w:val="12"/>
        <w:tabs>
          <w:tab w:val="right" w:leader="dot" w:pos="9061"/>
        </w:tabs>
        <w:rPr>
          <w:rFonts w:ascii="Calibri" w:hAnsi="Calibri"/>
          <w:b w:val="0"/>
          <w:noProof/>
          <w:kern w:val="2"/>
          <w:sz w:val="24"/>
        </w:rPr>
      </w:pPr>
      <w:hyperlink w:anchor="_Toc198618922" w:history="1">
        <w:r w:rsidRPr="000A1A03">
          <w:rPr>
            <w:rStyle w:val="a3"/>
            <w:noProof/>
          </w:rPr>
          <w:t>НОВОСТИ МАКРОЭКОНОМИКИ</w:t>
        </w:r>
        <w:r>
          <w:rPr>
            <w:noProof/>
            <w:webHidden/>
          </w:rPr>
          <w:tab/>
        </w:r>
        <w:r>
          <w:rPr>
            <w:noProof/>
            <w:webHidden/>
          </w:rPr>
          <w:fldChar w:fldCharType="begin"/>
        </w:r>
        <w:r>
          <w:rPr>
            <w:noProof/>
            <w:webHidden/>
          </w:rPr>
          <w:instrText xml:space="preserve"> PAGEREF _Toc198618922 \h </w:instrText>
        </w:r>
        <w:r>
          <w:rPr>
            <w:noProof/>
            <w:webHidden/>
          </w:rPr>
        </w:r>
        <w:r>
          <w:rPr>
            <w:noProof/>
            <w:webHidden/>
          </w:rPr>
          <w:fldChar w:fldCharType="separate"/>
        </w:r>
        <w:r w:rsidR="004775B7">
          <w:rPr>
            <w:noProof/>
            <w:webHidden/>
          </w:rPr>
          <w:t>55</w:t>
        </w:r>
        <w:r>
          <w:rPr>
            <w:noProof/>
            <w:webHidden/>
          </w:rPr>
          <w:fldChar w:fldCharType="end"/>
        </w:r>
      </w:hyperlink>
    </w:p>
    <w:p w14:paraId="6AA32D81" w14:textId="51683F04" w:rsidR="00A03AE7" w:rsidRDefault="00A03AE7">
      <w:pPr>
        <w:pStyle w:val="21"/>
        <w:tabs>
          <w:tab w:val="right" w:leader="dot" w:pos="9061"/>
        </w:tabs>
        <w:rPr>
          <w:rFonts w:ascii="Calibri" w:hAnsi="Calibri"/>
          <w:noProof/>
          <w:kern w:val="2"/>
        </w:rPr>
      </w:pPr>
      <w:hyperlink w:anchor="_Toc198618923" w:history="1">
        <w:r w:rsidRPr="000A1A03">
          <w:rPr>
            <w:rStyle w:val="a3"/>
            <w:noProof/>
          </w:rPr>
          <w:t xml:space="preserve">Ведомости, 20.05.2025, </w:t>
        </w:r>
        <w:r w:rsidRPr="000A1A03">
          <w:rPr>
            <w:rStyle w:val="a3"/>
            <w:rFonts w:eastAsia="Verdana"/>
            <w:noProof/>
          </w:rPr>
          <w:t>Власти согласовали увеличение порогов для МСП</w:t>
        </w:r>
        <w:r>
          <w:rPr>
            <w:noProof/>
            <w:webHidden/>
          </w:rPr>
          <w:tab/>
        </w:r>
        <w:r>
          <w:rPr>
            <w:noProof/>
            <w:webHidden/>
          </w:rPr>
          <w:fldChar w:fldCharType="begin"/>
        </w:r>
        <w:r>
          <w:rPr>
            <w:noProof/>
            <w:webHidden/>
          </w:rPr>
          <w:instrText xml:space="preserve"> PAGEREF _Toc198618923 \h </w:instrText>
        </w:r>
        <w:r>
          <w:rPr>
            <w:noProof/>
            <w:webHidden/>
          </w:rPr>
        </w:r>
        <w:r>
          <w:rPr>
            <w:noProof/>
            <w:webHidden/>
          </w:rPr>
          <w:fldChar w:fldCharType="separate"/>
        </w:r>
        <w:r w:rsidR="004775B7">
          <w:rPr>
            <w:noProof/>
            <w:webHidden/>
          </w:rPr>
          <w:t>55</w:t>
        </w:r>
        <w:r>
          <w:rPr>
            <w:noProof/>
            <w:webHidden/>
          </w:rPr>
          <w:fldChar w:fldCharType="end"/>
        </w:r>
      </w:hyperlink>
    </w:p>
    <w:p w14:paraId="11158F33" w14:textId="543AA0F2" w:rsidR="00A03AE7" w:rsidRDefault="00A03AE7">
      <w:pPr>
        <w:pStyle w:val="31"/>
        <w:rPr>
          <w:rFonts w:ascii="Calibri" w:hAnsi="Calibri"/>
          <w:kern w:val="2"/>
        </w:rPr>
      </w:pPr>
      <w:hyperlink w:anchor="_Toc198618924" w:history="1">
        <w:r w:rsidRPr="000A1A03">
          <w:rPr>
            <w:rStyle w:val="a3"/>
          </w:rPr>
          <w:t>Правительство рассмотрит меры поддержки для более мягкого перехода из льготного режима, действующего для субъектов малого и среднего предпринимательства (МСП), на общую систему налогообложения. Такое поручение дал премьер-министр России Михаил Мишустин на правкомиссии по вопросам развития МСП. Важно, чтобы компании не теряли "запал и возможности, которые предоставлялись специальными режимами", отметил он.</w:t>
        </w:r>
        <w:r>
          <w:rPr>
            <w:webHidden/>
          </w:rPr>
          <w:tab/>
        </w:r>
        <w:r>
          <w:rPr>
            <w:webHidden/>
          </w:rPr>
          <w:fldChar w:fldCharType="begin"/>
        </w:r>
        <w:r>
          <w:rPr>
            <w:webHidden/>
          </w:rPr>
          <w:instrText xml:space="preserve"> PAGEREF _Toc198618924 \h </w:instrText>
        </w:r>
        <w:r>
          <w:rPr>
            <w:webHidden/>
          </w:rPr>
        </w:r>
        <w:r>
          <w:rPr>
            <w:webHidden/>
          </w:rPr>
          <w:fldChar w:fldCharType="separate"/>
        </w:r>
        <w:r w:rsidR="004775B7">
          <w:rPr>
            <w:webHidden/>
          </w:rPr>
          <w:t>55</w:t>
        </w:r>
        <w:r>
          <w:rPr>
            <w:webHidden/>
          </w:rPr>
          <w:fldChar w:fldCharType="end"/>
        </w:r>
      </w:hyperlink>
    </w:p>
    <w:p w14:paraId="03234922" w14:textId="13230802" w:rsidR="00A03AE7" w:rsidRDefault="00A03AE7">
      <w:pPr>
        <w:pStyle w:val="21"/>
        <w:tabs>
          <w:tab w:val="right" w:leader="dot" w:pos="9061"/>
        </w:tabs>
        <w:rPr>
          <w:rFonts w:ascii="Calibri" w:hAnsi="Calibri"/>
          <w:noProof/>
          <w:kern w:val="2"/>
        </w:rPr>
      </w:pPr>
      <w:hyperlink w:anchor="_Toc198618925" w:history="1">
        <w:r w:rsidRPr="000A1A03">
          <w:rPr>
            <w:rStyle w:val="a3"/>
            <w:noProof/>
          </w:rPr>
          <w:t>Коммерсантъ, 20.05.2025, МСП выходит в плюс</w:t>
        </w:r>
        <w:r>
          <w:rPr>
            <w:noProof/>
            <w:webHidden/>
          </w:rPr>
          <w:tab/>
        </w:r>
        <w:r>
          <w:rPr>
            <w:noProof/>
            <w:webHidden/>
          </w:rPr>
          <w:fldChar w:fldCharType="begin"/>
        </w:r>
        <w:r>
          <w:rPr>
            <w:noProof/>
            <w:webHidden/>
          </w:rPr>
          <w:instrText xml:space="preserve"> PAGEREF _Toc198618925 \h </w:instrText>
        </w:r>
        <w:r>
          <w:rPr>
            <w:noProof/>
            <w:webHidden/>
          </w:rPr>
        </w:r>
        <w:r>
          <w:rPr>
            <w:noProof/>
            <w:webHidden/>
          </w:rPr>
          <w:fldChar w:fldCharType="separate"/>
        </w:r>
        <w:r w:rsidR="004775B7">
          <w:rPr>
            <w:noProof/>
            <w:webHidden/>
          </w:rPr>
          <w:t>58</w:t>
        </w:r>
        <w:r>
          <w:rPr>
            <w:noProof/>
            <w:webHidden/>
          </w:rPr>
          <w:fldChar w:fldCharType="end"/>
        </w:r>
      </w:hyperlink>
    </w:p>
    <w:p w14:paraId="7BB95A44" w14:textId="3AA3C8A1" w:rsidR="00A03AE7" w:rsidRDefault="00A03AE7">
      <w:pPr>
        <w:pStyle w:val="31"/>
        <w:rPr>
          <w:rFonts w:ascii="Calibri" w:hAnsi="Calibri"/>
          <w:kern w:val="2"/>
        </w:rPr>
      </w:pPr>
      <w:hyperlink w:anchor="_Toc198618926" w:history="1">
        <w:r w:rsidRPr="000A1A03">
          <w:rPr>
            <w:rStyle w:val="a3"/>
          </w:rPr>
          <w:t>Расширение вклада малого и среднего бизнеса в создание «экономики предложения» и в развитие передовых технологий станет ключевым приоритетом господдержки этого сектора, показало заседание правительственной комиссии по вопросам развития МСП. Ради этой цели власти намерены концентрировать помощь в приоритетных отраслях и повышать степень ее цифровизации. Малый бизнес, от которого правительство ждет уже не количественного, а качественного роста, на заседании просил увеличить лимиты промышленной ипотеки и расширить инфраструктуру процесса повышения производительности труда МСП. Обсуждались и возможности поддержки предприятий, занятых в приоритетных отраслях и переросших рамки малого и среднего бизнеса,— разработать критерии нового сегмента МСП+ поручено Минэкономики и Минфину.</w:t>
        </w:r>
        <w:r>
          <w:rPr>
            <w:webHidden/>
          </w:rPr>
          <w:tab/>
        </w:r>
        <w:r>
          <w:rPr>
            <w:webHidden/>
          </w:rPr>
          <w:fldChar w:fldCharType="begin"/>
        </w:r>
        <w:r>
          <w:rPr>
            <w:webHidden/>
          </w:rPr>
          <w:instrText xml:space="preserve"> PAGEREF _Toc198618926 \h </w:instrText>
        </w:r>
        <w:r>
          <w:rPr>
            <w:webHidden/>
          </w:rPr>
        </w:r>
        <w:r>
          <w:rPr>
            <w:webHidden/>
          </w:rPr>
          <w:fldChar w:fldCharType="separate"/>
        </w:r>
        <w:r w:rsidR="004775B7">
          <w:rPr>
            <w:webHidden/>
          </w:rPr>
          <w:t>58</w:t>
        </w:r>
        <w:r>
          <w:rPr>
            <w:webHidden/>
          </w:rPr>
          <w:fldChar w:fldCharType="end"/>
        </w:r>
      </w:hyperlink>
    </w:p>
    <w:p w14:paraId="10C8D666" w14:textId="20A8106A" w:rsidR="00A03AE7" w:rsidRDefault="00A03AE7">
      <w:pPr>
        <w:pStyle w:val="21"/>
        <w:tabs>
          <w:tab w:val="right" w:leader="dot" w:pos="9061"/>
        </w:tabs>
        <w:rPr>
          <w:rFonts w:ascii="Calibri" w:hAnsi="Calibri"/>
          <w:noProof/>
          <w:kern w:val="2"/>
        </w:rPr>
      </w:pPr>
      <w:hyperlink w:anchor="_Toc198618927" w:history="1">
        <w:r w:rsidRPr="000A1A03">
          <w:rPr>
            <w:rStyle w:val="a3"/>
            <w:noProof/>
          </w:rPr>
          <w:t>Коммерсантъ, 19.05.2025, Активы большими банками</w:t>
        </w:r>
        <w:r>
          <w:rPr>
            <w:noProof/>
            <w:webHidden/>
          </w:rPr>
          <w:tab/>
        </w:r>
        <w:r>
          <w:rPr>
            <w:noProof/>
            <w:webHidden/>
          </w:rPr>
          <w:fldChar w:fldCharType="begin"/>
        </w:r>
        <w:r>
          <w:rPr>
            <w:noProof/>
            <w:webHidden/>
          </w:rPr>
          <w:instrText xml:space="preserve"> PAGEREF _Toc198618927 \h </w:instrText>
        </w:r>
        <w:r>
          <w:rPr>
            <w:noProof/>
            <w:webHidden/>
          </w:rPr>
        </w:r>
        <w:r>
          <w:rPr>
            <w:noProof/>
            <w:webHidden/>
          </w:rPr>
          <w:fldChar w:fldCharType="separate"/>
        </w:r>
        <w:r w:rsidR="004775B7">
          <w:rPr>
            <w:noProof/>
            <w:webHidden/>
          </w:rPr>
          <w:t>59</w:t>
        </w:r>
        <w:r>
          <w:rPr>
            <w:noProof/>
            <w:webHidden/>
          </w:rPr>
          <w:fldChar w:fldCharType="end"/>
        </w:r>
      </w:hyperlink>
    </w:p>
    <w:p w14:paraId="03D5BCA2" w14:textId="5F1790EF" w:rsidR="00A03AE7" w:rsidRDefault="00A03AE7">
      <w:pPr>
        <w:pStyle w:val="31"/>
        <w:rPr>
          <w:rFonts w:ascii="Calibri" w:hAnsi="Calibri"/>
          <w:kern w:val="2"/>
        </w:rPr>
      </w:pPr>
      <w:hyperlink w:anchor="_Toc198618928" w:history="1">
        <w:r w:rsidRPr="000A1A03">
          <w:rPr>
            <w:rStyle w:val="a3"/>
          </w:rPr>
          <w:t>По итогам первого квартала 2025 года банки уже ощутили сокращение кредитования и тренд сохранится, считают эксперты. В таких условиях прибыль банковского сектора не достигнет прошлогоднего результата и составит 3,1–3,3 трлн руб. При этом в наиболее комфортном положении окажутся банки из топ-10, их доля в совокупных активах банковской системы может достичь по итогам года 81,5% против 77% годом ранее.</w:t>
        </w:r>
        <w:r>
          <w:rPr>
            <w:webHidden/>
          </w:rPr>
          <w:tab/>
        </w:r>
        <w:r>
          <w:rPr>
            <w:webHidden/>
          </w:rPr>
          <w:fldChar w:fldCharType="begin"/>
        </w:r>
        <w:r>
          <w:rPr>
            <w:webHidden/>
          </w:rPr>
          <w:instrText xml:space="preserve"> PAGEREF _Toc198618928 \h </w:instrText>
        </w:r>
        <w:r>
          <w:rPr>
            <w:webHidden/>
          </w:rPr>
        </w:r>
        <w:r>
          <w:rPr>
            <w:webHidden/>
          </w:rPr>
          <w:fldChar w:fldCharType="separate"/>
        </w:r>
        <w:r w:rsidR="004775B7">
          <w:rPr>
            <w:webHidden/>
          </w:rPr>
          <w:t>59</w:t>
        </w:r>
        <w:r>
          <w:rPr>
            <w:webHidden/>
          </w:rPr>
          <w:fldChar w:fldCharType="end"/>
        </w:r>
      </w:hyperlink>
    </w:p>
    <w:p w14:paraId="39B24175" w14:textId="38132D10" w:rsidR="00A03AE7" w:rsidRDefault="00A03AE7">
      <w:pPr>
        <w:pStyle w:val="21"/>
        <w:tabs>
          <w:tab w:val="right" w:leader="dot" w:pos="9061"/>
        </w:tabs>
        <w:rPr>
          <w:rFonts w:ascii="Calibri" w:hAnsi="Calibri"/>
          <w:noProof/>
          <w:kern w:val="2"/>
        </w:rPr>
      </w:pPr>
      <w:hyperlink w:anchor="_Toc198618929" w:history="1">
        <w:r w:rsidRPr="000A1A03">
          <w:rPr>
            <w:rStyle w:val="a3"/>
            <w:noProof/>
          </w:rPr>
          <w:t>Коммерсантъ, 20.05.2025, Рынок перезвонит</w:t>
        </w:r>
        <w:r>
          <w:rPr>
            <w:noProof/>
            <w:webHidden/>
          </w:rPr>
          <w:tab/>
        </w:r>
        <w:r>
          <w:rPr>
            <w:noProof/>
            <w:webHidden/>
          </w:rPr>
          <w:fldChar w:fldCharType="begin"/>
        </w:r>
        <w:r>
          <w:rPr>
            <w:noProof/>
            <w:webHidden/>
          </w:rPr>
          <w:instrText xml:space="preserve"> PAGEREF _Toc198618929 \h </w:instrText>
        </w:r>
        <w:r>
          <w:rPr>
            <w:noProof/>
            <w:webHidden/>
          </w:rPr>
        </w:r>
        <w:r>
          <w:rPr>
            <w:noProof/>
            <w:webHidden/>
          </w:rPr>
          <w:fldChar w:fldCharType="separate"/>
        </w:r>
        <w:r w:rsidR="004775B7">
          <w:rPr>
            <w:noProof/>
            <w:webHidden/>
          </w:rPr>
          <w:t>61</w:t>
        </w:r>
        <w:r>
          <w:rPr>
            <w:noProof/>
            <w:webHidden/>
          </w:rPr>
          <w:fldChar w:fldCharType="end"/>
        </w:r>
      </w:hyperlink>
    </w:p>
    <w:p w14:paraId="0685FE99" w14:textId="743D1CC1" w:rsidR="00A03AE7" w:rsidRDefault="00A03AE7">
      <w:pPr>
        <w:pStyle w:val="31"/>
        <w:rPr>
          <w:rFonts w:ascii="Calibri" w:hAnsi="Calibri"/>
          <w:kern w:val="2"/>
        </w:rPr>
      </w:pPr>
      <w:hyperlink w:anchor="_Toc198618930" w:history="1">
        <w:r w:rsidRPr="000A1A03">
          <w:rPr>
            <w:rStyle w:val="a3"/>
          </w:rPr>
          <w:t>Окончание очередных телефонных переговоров президентов России и США вызвало бурную реакцию рынка, однако повторить показатели трехмесячной давности не удалось. В первые 15 минут после первых сообщений об их итогах индекс Московской биржи колебался в диапазоне 2860–2900 пунктов, а объем торгов составил 10 млрд руб. Инвесторов удовлетворяет сам факт того, что контакты на уровне президентов двух стран продолжаются.</w:t>
        </w:r>
        <w:r>
          <w:rPr>
            <w:webHidden/>
          </w:rPr>
          <w:tab/>
        </w:r>
        <w:r>
          <w:rPr>
            <w:webHidden/>
          </w:rPr>
          <w:fldChar w:fldCharType="begin"/>
        </w:r>
        <w:r>
          <w:rPr>
            <w:webHidden/>
          </w:rPr>
          <w:instrText xml:space="preserve"> PAGEREF _Toc198618930 \h </w:instrText>
        </w:r>
        <w:r>
          <w:rPr>
            <w:webHidden/>
          </w:rPr>
        </w:r>
        <w:r>
          <w:rPr>
            <w:webHidden/>
          </w:rPr>
          <w:fldChar w:fldCharType="separate"/>
        </w:r>
        <w:r w:rsidR="004775B7">
          <w:rPr>
            <w:webHidden/>
          </w:rPr>
          <w:t>61</w:t>
        </w:r>
        <w:r>
          <w:rPr>
            <w:webHidden/>
          </w:rPr>
          <w:fldChar w:fldCharType="end"/>
        </w:r>
      </w:hyperlink>
    </w:p>
    <w:p w14:paraId="5D84E5EF" w14:textId="73FD9B78" w:rsidR="00A03AE7" w:rsidRDefault="00A03AE7">
      <w:pPr>
        <w:pStyle w:val="21"/>
        <w:tabs>
          <w:tab w:val="right" w:leader="dot" w:pos="9061"/>
        </w:tabs>
        <w:rPr>
          <w:rFonts w:ascii="Calibri" w:hAnsi="Calibri"/>
          <w:noProof/>
          <w:kern w:val="2"/>
        </w:rPr>
      </w:pPr>
      <w:hyperlink w:anchor="_Toc198618931" w:history="1">
        <w:r w:rsidRPr="000A1A03">
          <w:rPr>
            <w:rStyle w:val="a3"/>
            <w:noProof/>
          </w:rPr>
          <w:t>Ведомости, 20.05.2025, Половина компаний готовы тратить на киберучения от 500 000 рублей на сотрудника</w:t>
        </w:r>
        <w:r>
          <w:rPr>
            <w:noProof/>
            <w:webHidden/>
          </w:rPr>
          <w:tab/>
        </w:r>
        <w:r>
          <w:rPr>
            <w:noProof/>
            <w:webHidden/>
          </w:rPr>
          <w:fldChar w:fldCharType="begin"/>
        </w:r>
        <w:r>
          <w:rPr>
            <w:noProof/>
            <w:webHidden/>
          </w:rPr>
          <w:instrText xml:space="preserve"> PAGEREF _Toc198618931 \h </w:instrText>
        </w:r>
        <w:r>
          <w:rPr>
            <w:noProof/>
            <w:webHidden/>
          </w:rPr>
        </w:r>
        <w:r>
          <w:rPr>
            <w:noProof/>
            <w:webHidden/>
          </w:rPr>
          <w:fldChar w:fldCharType="separate"/>
        </w:r>
        <w:r w:rsidR="004775B7">
          <w:rPr>
            <w:noProof/>
            <w:webHidden/>
          </w:rPr>
          <w:t>62</w:t>
        </w:r>
        <w:r>
          <w:rPr>
            <w:noProof/>
            <w:webHidden/>
          </w:rPr>
          <w:fldChar w:fldCharType="end"/>
        </w:r>
      </w:hyperlink>
    </w:p>
    <w:p w14:paraId="4E75DE0F" w14:textId="7F173E7B" w:rsidR="00A03AE7" w:rsidRDefault="00A03AE7">
      <w:pPr>
        <w:pStyle w:val="31"/>
        <w:rPr>
          <w:rFonts w:ascii="Calibri" w:hAnsi="Calibri"/>
          <w:kern w:val="2"/>
        </w:rPr>
      </w:pPr>
      <w:hyperlink w:anchor="_Toc198618932" w:history="1">
        <w:r w:rsidRPr="000A1A03">
          <w:rPr>
            <w:rStyle w:val="a3"/>
          </w:rPr>
          <w:t>Почти половина российских компаний (42%) готовы выделить до 500 000 руб. на участие в киберучениях одного специалиста. Eще 10% организаций могут потратить до 1 млн руб. на сотрудника и 4% компаний - свыше 1 млн руб. на одного киберзащитника. Об этом говорится в исследовании "Солара" (есть в распоряжении "Ведомостей"), в котором приняли участие 150 представителей компаний из финансового сектора, IT, электронной коммерции, телекома, промышленности и госсектора. Из них 22% респондентов представляли крупный бизнес, 40% - компании среднего уровня, 38% - малый бизнес.</w:t>
        </w:r>
        <w:r>
          <w:rPr>
            <w:webHidden/>
          </w:rPr>
          <w:tab/>
        </w:r>
        <w:r>
          <w:rPr>
            <w:webHidden/>
          </w:rPr>
          <w:fldChar w:fldCharType="begin"/>
        </w:r>
        <w:r>
          <w:rPr>
            <w:webHidden/>
          </w:rPr>
          <w:instrText xml:space="preserve"> PAGEREF _Toc198618932 \h </w:instrText>
        </w:r>
        <w:r>
          <w:rPr>
            <w:webHidden/>
          </w:rPr>
        </w:r>
        <w:r>
          <w:rPr>
            <w:webHidden/>
          </w:rPr>
          <w:fldChar w:fldCharType="separate"/>
        </w:r>
        <w:r w:rsidR="004775B7">
          <w:rPr>
            <w:webHidden/>
          </w:rPr>
          <w:t>62</w:t>
        </w:r>
        <w:r>
          <w:rPr>
            <w:webHidden/>
          </w:rPr>
          <w:fldChar w:fldCharType="end"/>
        </w:r>
      </w:hyperlink>
    </w:p>
    <w:p w14:paraId="1AD4D64B" w14:textId="511C3B01" w:rsidR="00A03AE7" w:rsidRDefault="00A03AE7">
      <w:pPr>
        <w:pStyle w:val="21"/>
        <w:tabs>
          <w:tab w:val="right" w:leader="dot" w:pos="9061"/>
        </w:tabs>
        <w:rPr>
          <w:rFonts w:ascii="Calibri" w:hAnsi="Calibri"/>
          <w:noProof/>
          <w:kern w:val="2"/>
        </w:rPr>
      </w:pPr>
      <w:hyperlink w:anchor="_Toc198618933" w:history="1">
        <w:r w:rsidRPr="000A1A03">
          <w:rPr>
            <w:rStyle w:val="a3"/>
            <w:noProof/>
          </w:rPr>
          <w:t xml:space="preserve">Известия, 20.05.2025, </w:t>
        </w:r>
        <w:r w:rsidRPr="000A1A03">
          <w:rPr>
            <w:rStyle w:val="a3"/>
            <w:rFonts w:eastAsia="Verdana"/>
            <w:noProof/>
          </w:rPr>
          <w:t>Провал комиссии</w:t>
        </w:r>
        <w:r>
          <w:rPr>
            <w:noProof/>
            <w:webHidden/>
          </w:rPr>
          <w:tab/>
        </w:r>
        <w:r>
          <w:rPr>
            <w:noProof/>
            <w:webHidden/>
          </w:rPr>
          <w:fldChar w:fldCharType="begin"/>
        </w:r>
        <w:r>
          <w:rPr>
            <w:noProof/>
            <w:webHidden/>
          </w:rPr>
          <w:instrText xml:space="preserve"> PAGEREF _Toc198618933 \h </w:instrText>
        </w:r>
        <w:r>
          <w:rPr>
            <w:noProof/>
            <w:webHidden/>
          </w:rPr>
        </w:r>
        <w:r>
          <w:rPr>
            <w:noProof/>
            <w:webHidden/>
          </w:rPr>
          <w:fldChar w:fldCharType="separate"/>
        </w:r>
        <w:r w:rsidR="004775B7">
          <w:rPr>
            <w:noProof/>
            <w:webHidden/>
          </w:rPr>
          <w:t>64</w:t>
        </w:r>
        <w:r>
          <w:rPr>
            <w:noProof/>
            <w:webHidden/>
          </w:rPr>
          <w:fldChar w:fldCharType="end"/>
        </w:r>
      </w:hyperlink>
    </w:p>
    <w:p w14:paraId="722DC3D9" w14:textId="6B91EC83" w:rsidR="00A03AE7" w:rsidRDefault="00A03AE7">
      <w:pPr>
        <w:pStyle w:val="31"/>
        <w:rPr>
          <w:rFonts w:ascii="Calibri" w:hAnsi="Calibri"/>
          <w:kern w:val="2"/>
        </w:rPr>
      </w:pPr>
      <w:hyperlink w:anchor="_Toc198618934" w:history="1">
        <w:r w:rsidRPr="000A1A03">
          <w:rPr>
            <w:rStyle w:val="a3"/>
          </w:rPr>
          <w:t>Россияне в начале 2025-го стали жаловаться на проблемы с ипотекой в полтора раза чаще, сообщили "Известиям" в ЦБ. Большинство обращений связано с ростом цен на жильё, покупаемое по семейной программе, - из-за того, что банки брали с застройщиков комиссии за каждый кредит в размере 4-10% годовых, и эта сумма в итоге закладывалась в стоимость недвижимости. Хотя в мае рынок под давлением ЦБ начал отказываться от такой практики, последствия можно назвать необратимыми. Стоимость квадратного метра в РФ только в прошлом году выросла на четверть. Что будет с ценами на жильё дальше - в материале "Известий".</w:t>
        </w:r>
        <w:r>
          <w:rPr>
            <w:webHidden/>
          </w:rPr>
          <w:tab/>
        </w:r>
        <w:r>
          <w:rPr>
            <w:webHidden/>
          </w:rPr>
          <w:fldChar w:fldCharType="begin"/>
        </w:r>
        <w:r>
          <w:rPr>
            <w:webHidden/>
          </w:rPr>
          <w:instrText xml:space="preserve"> PAGEREF _Toc198618934 \h </w:instrText>
        </w:r>
        <w:r>
          <w:rPr>
            <w:webHidden/>
          </w:rPr>
        </w:r>
        <w:r>
          <w:rPr>
            <w:webHidden/>
          </w:rPr>
          <w:fldChar w:fldCharType="separate"/>
        </w:r>
        <w:r w:rsidR="004775B7">
          <w:rPr>
            <w:webHidden/>
          </w:rPr>
          <w:t>64</w:t>
        </w:r>
        <w:r>
          <w:rPr>
            <w:webHidden/>
          </w:rPr>
          <w:fldChar w:fldCharType="end"/>
        </w:r>
      </w:hyperlink>
    </w:p>
    <w:p w14:paraId="60BF5C68" w14:textId="1204EE92" w:rsidR="00A03AE7" w:rsidRDefault="00A03AE7">
      <w:pPr>
        <w:pStyle w:val="21"/>
        <w:tabs>
          <w:tab w:val="right" w:leader="dot" w:pos="9061"/>
        </w:tabs>
        <w:rPr>
          <w:rFonts w:ascii="Calibri" w:hAnsi="Calibri"/>
          <w:noProof/>
          <w:kern w:val="2"/>
        </w:rPr>
      </w:pPr>
      <w:hyperlink w:anchor="_Toc198618935" w:history="1">
        <w:r w:rsidRPr="000A1A03">
          <w:rPr>
            <w:rStyle w:val="a3"/>
            <w:noProof/>
          </w:rPr>
          <w:t>Известия, 20.05.2025, Ставка на ключевую</w:t>
        </w:r>
        <w:r>
          <w:rPr>
            <w:noProof/>
            <w:webHidden/>
          </w:rPr>
          <w:tab/>
        </w:r>
        <w:r>
          <w:rPr>
            <w:noProof/>
            <w:webHidden/>
          </w:rPr>
          <w:fldChar w:fldCharType="begin"/>
        </w:r>
        <w:r>
          <w:rPr>
            <w:noProof/>
            <w:webHidden/>
          </w:rPr>
          <w:instrText xml:space="preserve"> PAGEREF _Toc198618935 \h </w:instrText>
        </w:r>
        <w:r>
          <w:rPr>
            <w:noProof/>
            <w:webHidden/>
          </w:rPr>
        </w:r>
        <w:r>
          <w:rPr>
            <w:noProof/>
            <w:webHidden/>
          </w:rPr>
          <w:fldChar w:fldCharType="separate"/>
        </w:r>
        <w:r w:rsidR="004775B7">
          <w:rPr>
            <w:noProof/>
            <w:webHidden/>
          </w:rPr>
          <w:t>65</w:t>
        </w:r>
        <w:r>
          <w:rPr>
            <w:noProof/>
            <w:webHidden/>
          </w:rPr>
          <w:fldChar w:fldCharType="end"/>
        </w:r>
      </w:hyperlink>
    </w:p>
    <w:p w14:paraId="2848F64C" w14:textId="72D5EBCA" w:rsidR="00A03AE7" w:rsidRDefault="00A03AE7">
      <w:pPr>
        <w:pStyle w:val="31"/>
        <w:rPr>
          <w:rFonts w:ascii="Calibri" w:hAnsi="Calibri"/>
          <w:kern w:val="2"/>
        </w:rPr>
      </w:pPr>
      <w:hyperlink w:anchor="_Toc198618936" w:history="1">
        <w:r w:rsidRPr="000A1A03">
          <w:rPr>
            <w:rStyle w:val="a3"/>
          </w:rPr>
          <w:t>В 2025 году экономика вырастет лишь на 1,7%, следует из консенсус-прогноза "Известий". Ожидания экспертов стали более скромными, так как за первый квартал динамика оказалась ниже прогнозов - Росстат предварительно оценил увеличение ВВП затри месяцавсего в 1,4% из-зажёсткой денежно-кредитной политики и внешних рисков. Вместе с тем замедляется инфляция. Это значит, что ЦБ следует как можно быстрее перейти к снижению ключевой - это поддержит экономику. При этом важно оценивать и продвижения в геополитике - в переговорах между Россией, США и Украиной. Каковы позитивный и негативный сценарии для роста нашей экономики - в материале "Известий".</w:t>
        </w:r>
        <w:r>
          <w:rPr>
            <w:webHidden/>
          </w:rPr>
          <w:tab/>
        </w:r>
        <w:r>
          <w:rPr>
            <w:webHidden/>
          </w:rPr>
          <w:fldChar w:fldCharType="begin"/>
        </w:r>
        <w:r>
          <w:rPr>
            <w:webHidden/>
          </w:rPr>
          <w:instrText xml:space="preserve"> PAGEREF _Toc198618936 \h </w:instrText>
        </w:r>
        <w:r>
          <w:rPr>
            <w:webHidden/>
          </w:rPr>
        </w:r>
        <w:r>
          <w:rPr>
            <w:webHidden/>
          </w:rPr>
          <w:fldChar w:fldCharType="separate"/>
        </w:r>
        <w:r w:rsidR="004775B7">
          <w:rPr>
            <w:webHidden/>
          </w:rPr>
          <w:t>65</w:t>
        </w:r>
        <w:r>
          <w:rPr>
            <w:webHidden/>
          </w:rPr>
          <w:fldChar w:fldCharType="end"/>
        </w:r>
      </w:hyperlink>
    </w:p>
    <w:p w14:paraId="121D8666" w14:textId="503266D5" w:rsidR="00A03AE7" w:rsidRDefault="00A03AE7">
      <w:pPr>
        <w:pStyle w:val="21"/>
        <w:tabs>
          <w:tab w:val="right" w:leader="dot" w:pos="9061"/>
        </w:tabs>
        <w:rPr>
          <w:rFonts w:ascii="Calibri" w:hAnsi="Calibri"/>
          <w:noProof/>
          <w:kern w:val="2"/>
        </w:rPr>
      </w:pPr>
      <w:hyperlink w:anchor="_Toc198618937" w:history="1">
        <w:r w:rsidRPr="000A1A03">
          <w:rPr>
            <w:rStyle w:val="a3"/>
            <w:noProof/>
          </w:rPr>
          <w:t>Ежедневная деловая газета РБК, 20.05.2025, Финтех как панацея</w:t>
        </w:r>
        <w:r>
          <w:rPr>
            <w:noProof/>
            <w:webHidden/>
          </w:rPr>
          <w:tab/>
        </w:r>
        <w:r>
          <w:rPr>
            <w:noProof/>
            <w:webHidden/>
          </w:rPr>
          <w:fldChar w:fldCharType="begin"/>
        </w:r>
        <w:r>
          <w:rPr>
            <w:noProof/>
            <w:webHidden/>
          </w:rPr>
          <w:instrText xml:space="preserve"> PAGEREF _Toc198618937 \h </w:instrText>
        </w:r>
        <w:r>
          <w:rPr>
            <w:noProof/>
            <w:webHidden/>
          </w:rPr>
        </w:r>
        <w:r>
          <w:rPr>
            <w:noProof/>
            <w:webHidden/>
          </w:rPr>
          <w:fldChar w:fldCharType="separate"/>
        </w:r>
        <w:r w:rsidR="004775B7">
          <w:rPr>
            <w:noProof/>
            <w:webHidden/>
          </w:rPr>
          <w:t>67</w:t>
        </w:r>
        <w:r>
          <w:rPr>
            <w:noProof/>
            <w:webHidden/>
          </w:rPr>
          <w:fldChar w:fldCharType="end"/>
        </w:r>
      </w:hyperlink>
    </w:p>
    <w:p w14:paraId="11B9A0CB" w14:textId="6714F5E7" w:rsidR="00A03AE7" w:rsidRDefault="00A03AE7">
      <w:pPr>
        <w:pStyle w:val="31"/>
        <w:rPr>
          <w:rFonts w:ascii="Calibri" w:hAnsi="Calibri"/>
          <w:kern w:val="2"/>
        </w:rPr>
      </w:pPr>
      <w:hyperlink w:anchor="_Toc198618938" w:history="1">
        <w:r w:rsidRPr="000A1A03">
          <w:rPr>
            <w:rStyle w:val="a3"/>
          </w:rPr>
          <w:t>Российские банки ждет "радикальное охлаждение", полагает "Эксперт РА". Но выживут не только крупнейшие из них: свои позиции могут улучшить финтехигроки, например банки Ozon и "Яндекса". РБК разбирался - поможет ли это акциям их материнских компаний.</w:t>
        </w:r>
        <w:r>
          <w:rPr>
            <w:webHidden/>
          </w:rPr>
          <w:tab/>
        </w:r>
        <w:r>
          <w:rPr>
            <w:webHidden/>
          </w:rPr>
          <w:fldChar w:fldCharType="begin"/>
        </w:r>
        <w:r>
          <w:rPr>
            <w:webHidden/>
          </w:rPr>
          <w:instrText xml:space="preserve"> PAGEREF _Toc198618938 \h </w:instrText>
        </w:r>
        <w:r>
          <w:rPr>
            <w:webHidden/>
          </w:rPr>
        </w:r>
        <w:r>
          <w:rPr>
            <w:webHidden/>
          </w:rPr>
          <w:fldChar w:fldCharType="separate"/>
        </w:r>
        <w:r w:rsidR="004775B7">
          <w:rPr>
            <w:webHidden/>
          </w:rPr>
          <w:t>67</w:t>
        </w:r>
        <w:r>
          <w:rPr>
            <w:webHidden/>
          </w:rPr>
          <w:fldChar w:fldCharType="end"/>
        </w:r>
      </w:hyperlink>
    </w:p>
    <w:p w14:paraId="195A45E5" w14:textId="3ADD56D9" w:rsidR="00A03AE7" w:rsidRDefault="00A03AE7">
      <w:pPr>
        <w:pStyle w:val="21"/>
        <w:tabs>
          <w:tab w:val="right" w:leader="dot" w:pos="9061"/>
        </w:tabs>
        <w:rPr>
          <w:rFonts w:ascii="Calibri" w:hAnsi="Calibri"/>
          <w:noProof/>
          <w:kern w:val="2"/>
        </w:rPr>
      </w:pPr>
      <w:hyperlink w:anchor="_Toc198618939" w:history="1">
        <w:r w:rsidRPr="000A1A03">
          <w:rPr>
            <w:rStyle w:val="a3"/>
            <w:noProof/>
          </w:rPr>
          <w:t>Известия, 19.05.2025, Меры и поддержка: в Госдуме готовят новые льготы ветеранам СВО</w:t>
        </w:r>
        <w:r>
          <w:rPr>
            <w:noProof/>
            <w:webHidden/>
          </w:rPr>
          <w:tab/>
        </w:r>
        <w:r>
          <w:rPr>
            <w:noProof/>
            <w:webHidden/>
          </w:rPr>
          <w:fldChar w:fldCharType="begin"/>
        </w:r>
        <w:r>
          <w:rPr>
            <w:noProof/>
            <w:webHidden/>
          </w:rPr>
          <w:instrText xml:space="preserve"> PAGEREF _Toc198618939 \h </w:instrText>
        </w:r>
        <w:r>
          <w:rPr>
            <w:noProof/>
            <w:webHidden/>
          </w:rPr>
        </w:r>
        <w:r>
          <w:rPr>
            <w:noProof/>
            <w:webHidden/>
          </w:rPr>
          <w:fldChar w:fldCharType="separate"/>
        </w:r>
        <w:r w:rsidR="004775B7">
          <w:rPr>
            <w:noProof/>
            <w:webHidden/>
          </w:rPr>
          <w:t>70</w:t>
        </w:r>
        <w:r>
          <w:rPr>
            <w:noProof/>
            <w:webHidden/>
          </w:rPr>
          <w:fldChar w:fldCharType="end"/>
        </w:r>
      </w:hyperlink>
    </w:p>
    <w:p w14:paraId="373813DF" w14:textId="7E77FFB3" w:rsidR="00A03AE7" w:rsidRDefault="00A03AE7">
      <w:pPr>
        <w:pStyle w:val="31"/>
        <w:rPr>
          <w:rFonts w:ascii="Calibri" w:hAnsi="Calibri"/>
          <w:kern w:val="2"/>
        </w:rPr>
      </w:pPr>
      <w:hyperlink w:anchor="_Toc198618940" w:history="1">
        <w:r w:rsidRPr="000A1A03">
          <w:rPr>
            <w:rStyle w:val="a3"/>
          </w:rPr>
          <w:t>В Госдуме обсуждают новые льготы для участников спецоперации на Украине. Среди продвигаемых депутатами мер — повышение ежемесячных выплат ветеранам боевых действий до уровня прожиточного минимума, снижение пенсионного возраста для бойцов СВО, а также списание части ипотечного кредита для семей военных. Законодательные инициативы парламентарии обсудят на встрече с замминистра обороны Анной Цивилевой в конце мая, сообщила «Известиям» глава комитета по защите семьи, вопросам отцовства, материнства и детства ГД РФ Нина Останина. О том, что думают об этих предложениях в парламентских партиях и найдутся ли на них средства в бюджете, — в материале «Известий».</w:t>
        </w:r>
        <w:r>
          <w:rPr>
            <w:webHidden/>
          </w:rPr>
          <w:tab/>
        </w:r>
        <w:r>
          <w:rPr>
            <w:webHidden/>
          </w:rPr>
          <w:fldChar w:fldCharType="begin"/>
        </w:r>
        <w:r>
          <w:rPr>
            <w:webHidden/>
          </w:rPr>
          <w:instrText xml:space="preserve"> PAGEREF _Toc198618940 \h </w:instrText>
        </w:r>
        <w:r>
          <w:rPr>
            <w:webHidden/>
          </w:rPr>
        </w:r>
        <w:r>
          <w:rPr>
            <w:webHidden/>
          </w:rPr>
          <w:fldChar w:fldCharType="separate"/>
        </w:r>
        <w:r w:rsidR="004775B7">
          <w:rPr>
            <w:webHidden/>
          </w:rPr>
          <w:t>70</w:t>
        </w:r>
        <w:r>
          <w:rPr>
            <w:webHidden/>
          </w:rPr>
          <w:fldChar w:fldCharType="end"/>
        </w:r>
      </w:hyperlink>
    </w:p>
    <w:p w14:paraId="7D5F15E5" w14:textId="0598EFC6" w:rsidR="00A03AE7" w:rsidRDefault="00A03AE7">
      <w:pPr>
        <w:pStyle w:val="21"/>
        <w:tabs>
          <w:tab w:val="right" w:leader="dot" w:pos="9061"/>
        </w:tabs>
        <w:rPr>
          <w:rFonts w:ascii="Calibri" w:hAnsi="Calibri"/>
          <w:noProof/>
          <w:kern w:val="2"/>
        </w:rPr>
      </w:pPr>
      <w:hyperlink w:anchor="_Toc198618941" w:history="1">
        <w:r w:rsidRPr="000A1A03">
          <w:rPr>
            <w:rStyle w:val="a3"/>
            <w:noProof/>
          </w:rPr>
          <w:t>РИА Новости, 20.05.2025, "Эксперт РА" ожидает роста портфеля корпоративных кредитов в РФ к концу года в пределах 5%</w:t>
        </w:r>
        <w:r>
          <w:rPr>
            <w:noProof/>
            <w:webHidden/>
          </w:rPr>
          <w:tab/>
        </w:r>
        <w:r>
          <w:rPr>
            <w:noProof/>
            <w:webHidden/>
          </w:rPr>
          <w:fldChar w:fldCharType="begin"/>
        </w:r>
        <w:r>
          <w:rPr>
            <w:noProof/>
            <w:webHidden/>
          </w:rPr>
          <w:instrText xml:space="preserve"> PAGEREF _Toc198618941 \h </w:instrText>
        </w:r>
        <w:r>
          <w:rPr>
            <w:noProof/>
            <w:webHidden/>
          </w:rPr>
        </w:r>
        <w:r>
          <w:rPr>
            <w:noProof/>
            <w:webHidden/>
          </w:rPr>
          <w:fldChar w:fldCharType="separate"/>
        </w:r>
        <w:r w:rsidR="004775B7">
          <w:rPr>
            <w:noProof/>
            <w:webHidden/>
          </w:rPr>
          <w:t>73</w:t>
        </w:r>
        <w:r>
          <w:rPr>
            <w:noProof/>
            <w:webHidden/>
          </w:rPr>
          <w:fldChar w:fldCharType="end"/>
        </w:r>
      </w:hyperlink>
    </w:p>
    <w:p w14:paraId="43D7E1C2" w14:textId="6332A52A" w:rsidR="00A03AE7" w:rsidRDefault="00A03AE7">
      <w:pPr>
        <w:pStyle w:val="31"/>
        <w:rPr>
          <w:rFonts w:ascii="Calibri" w:hAnsi="Calibri"/>
          <w:kern w:val="2"/>
        </w:rPr>
      </w:pPr>
      <w:hyperlink w:anchor="_Toc198618942" w:history="1">
        <w:r w:rsidRPr="000A1A03">
          <w:rPr>
            <w:rStyle w:val="a3"/>
          </w:rPr>
          <w:t>Рейтинговое агентство "Эксперт РА" к концу текущего года ожидает увеличение портфеля крупных корпоративных кредитов в пределах 5%, говорится в обзоре "Банковский сектор по итогам первого I квартала 2025 года: холодная весна 25-го".</w:t>
        </w:r>
        <w:r>
          <w:rPr>
            <w:webHidden/>
          </w:rPr>
          <w:tab/>
        </w:r>
        <w:r>
          <w:rPr>
            <w:webHidden/>
          </w:rPr>
          <w:fldChar w:fldCharType="begin"/>
        </w:r>
        <w:r>
          <w:rPr>
            <w:webHidden/>
          </w:rPr>
          <w:instrText xml:space="preserve"> PAGEREF _Toc198618942 \h </w:instrText>
        </w:r>
        <w:r>
          <w:rPr>
            <w:webHidden/>
          </w:rPr>
        </w:r>
        <w:r>
          <w:rPr>
            <w:webHidden/>
          </w:rPr>
          <w:fldChar w:fldCharType="separate"/>
        </w:r>
        <w:r w:rsidR="004775B7">
          <w:rPr>
            <w:webHidden/>
          </w:rPr>
          <w:t>73</w:t>
        </w:r>
        <w:r>
          <w:rPr>
            <w:webHidden/>
          </w:rPr>
          <w:fldChar w:fldCharType="end"/>
        </w:r>
      </w:hyperlink>
    </w:p>
    <w:p w14:paraId="4BFCBB26" w14:textId="2E983AE5" w:rsidR="00A03AE7" w:rsidRDefault="00A03AE7">
      <w:pPr>
        <w:pStyle w:val="21"/>
        <w:tabs>
          <w:tab w:val="right" w:leader="dot" w:pos="9061"/>
        </w:tabs>
        <w:rPr>
          <w:rFonts w:ascii="Calibri" w:hAnsi="Calibri"/>
          <w:noProof/>
          <w:kern w:val="2"/>
        </w:rPr>
      </w:pPr>
      <w:hyperlink w:anchor="_Toc198618943" w:history="1">
        <w:r w:rsidRPr="000A1A03">
          <w:rPr>
            <w:rStyle w:val="a3"/>
            <w:noProof/>
          </w:rPr>
          <w:t>РИА Новости, 19.05.2025, Мишустин поручил в 2025 году запустить механизм, стимулирующий МСП к размещению акций</w:t>
        </w:r>
        <w:r>
          <w:rPr>
            <w:noProof/>
            <w:webHidden/>
          </w:rPr>
          <w:tab/>
        </w:r>
        <w:r>
          <w:rPr>
            <w:noProof/>
            <w:webHidden/>
          </w:rPr>
          <w:fldChar w:fldCharType="begin"/>
        </w:r>
        <w:r>
          <w:rPr>
            <w:noProof/>
            <w:webHidden/>
          </w:rPr>
          <w:instrText xml:space="preserve"> PAGEREF _Toc198618943 \h </w:instrText>
        </w:r>
        <w:r>
          <w:rPr>
            <w:noProof/>
            <w:webHidden/>
          </w:rPr>
        </w:r>
        <w:r>
          <w:rPr>
            <w:noProof/>
            <w:webHidden/>
          </w:rPr>
          <w:fldChar w:fldCharType="separate"/>
        </w:r>
        <w:r w:rsidR="004775B7">
          <w:rPr>
            <w:noProof/>
            <w:webHidden/>
          </w:rPr>
          <w:t>73</w:t>
        </w:r>
        <w:r>
          <w:rPr>
            <w:noProof/>
            <w:webHidden/>
          </w:rPr>
          <w:fldChar w:fldCharType="end"/>
        </w:r>
      </w:hyperlink>
    </w:p>
    <w:p w14:paraId="39A47B52" w14:textId="3968D366" w:rsidR="00A03AE7" w:rsidRDefault="00A03AE7">
      <w:pPr>
        <w:pStyle w:val="31"/>
        <w:rPr>
          <w:rFonts w:ascii="Calibri" w:hAnsi="Calibri"/>
          <w:kern w:val="2"/>
        </w:rPr>
      </w:pPr>
      <w:hyperlink w:anchor="_Toc198618944" w:history="1">
        <w:r w:rsidRPr="000A1A03">
          <w:rPr>
            <w:rStyle w:val="a3"/>
          </w:rPr>
          <w:t>Премьер-министр РФ Михаил Мишустин поручил главе Минфина РФ Антону Силуанову и главе Минэкономразвития РФ Максиму Решетникову в 2025 году обеспечить запуск механизма по стимулированию малого и среднего бизнеса к размещению акций на фондовой бирже.</w:t>
        </w:r>
        <w:r>
          <w:rPr>
            <w:webHidden/>
          </w:rPr>
          <w:tab/>
        </w:r>
        <w:r>
          <w:rPr>
            <w:webHidden/>
          </w:rPr>
          <w:fldChar w:fldCharType="begin"/>
        </w:r>
        <w:r>
          <w:rPr>
            <w:webHidden/>
          </w:rPr>
          <w:instrText xml:space="preserve"> PAGEREF _Toc198618944 \h </w:instrText>
        </w:r>
        <w:r>
          <w:rPr>
            <w:webHidden/>
          </w:rPr>
        </w:r>
        <w:r>
          <w:rPr>
            <w:webHidden/>
          </w:rPr>
          <w:fldChar w:fldCharType="separate"/>
        </w:r>
        <w:r w:rsidR="004775B7">
          <w:rPr>
            <w:webHidden/>
          </w:rPr>
          <w:t>73</w:t>
        </w:r>
        <w:r>
          <w:rPr>
            <w:webHidden/>
          </w:rPr>
          <w:fldChar w:fldCharType="end"/>
        </w:r>
      </w:hyperlink>
    </w:p>
    <w:p w14:paraId="761BBC72" w14:textId="048293A3" w:rsidR="00A03AE7" w:rsidRDefault="00A03AE7">
      <w:pPr>
        <w:pStyle w:val="21"/>
        <w:tabs>
          <w:tab w:val="right" w:leader="dot" w:pos="9061"/>
        </w:tabs>
        <w:rPr>
          <w:rFonts w:ascii="Calibri" w:hAnsi="Calibri"/>
          <w:noProof/>
          <w:kern w:val="2"/>
        </w:rPr>
      </w:pPr>
      <w:hyperlink w:anchor="_Toc198618945" w:history="1">
        <w:r w:rsidRPr="000A1A03">
          <w:rPr>
            <w:rStyle w:val="a3"/>
            <w:noProof/>
          </w:rPr>
          <w:t>ТАСС, 19.05.2025, Для привлечения инвестиций в РФ будет построено 100 бизнес- и технопарков - Новак</w:t>
        </w:r>
        <w:r>
          <w:rPr>
            <w:noProof/>
            <w:webHidden/>
          </w:rPr>
          <w:tab/>
        </w:r>
        <w:r>
          <w:rPr>
            <w:noProof/>
            <w:webHidden/>
          </w:rPr>
          <w:fldChar w:fldCharType="begin"/>
        </w:r>
        <w:r>
          <w:rPr>
            <w:noProof/>
            <w:webHidden/>
          </w:rPr>
          <w:instrText xml:space="preserve"> PAGEREF _Toc198618945 \h </w:instrText>
        </w:r>
        <w:r>
          <w:rPr>
            <w:noProof/>
            <w:webHidden/>
          </w:rPr>
        </w:r>
        <w:r>
          <w:rPr>
            <w:noProof/>
            <w:webHidden/>
          </w:rPr>
          <w:fldChar w:fldCharType="separate"/>
        </w:r>
        <w:r w:rsidR="004775B7">
          <w:rPr>
            <w:noProof/>
            <w:webHidden/>
          </w:rPr>
          <w:t>74</w:t>
        </w:r>
        <w:r>
          <w:rPr>
            <w:noProof/>
            <w:webHidden/>
          </w:rPr>
          <w:fldChar w:fldCharType="end"/>
        </w:r>
      </w:hyperlink>
    </w:p>
    <w:p w14:paraId="21196271" w14:textId="171492A0" w:rsidR="00A03AE7" w:rsidRDefault="00A03AE7">
      <w:pPr>
        <w:pStyle w:val="31"/>
        <w:rPr>
          <w:rFonts w:ascii="Calibri" w:hAnsi="Calibri"/>
          <w:kern w:val="2"/>
        </w:rPr>
      </w:pPr>
      <w:hyperlink w:anchor="_Toc198618946" w:history="1">
        <w:r w:rsidRPr="000A1A03">
          <w:rPr>
            <w:rStyle w:val="a3"/>
          </w:rPr>
          <w:t>Для создания условий привлечения инвестиций в РФ  будет построено 100 бизнес- и технопарков для 2 тыс. резидентов, сообщил  вице-премьер РФ Александр Новак в ходе совещания по поддержке малого и среднего  предпринимательства под председательством премьер-министра Михаила Мишустина.</w:t>
        </w:r>
        <w:r>
          <w:rPr>
            <w:webHidden/>
          </w:rPr>
          <w:tab/>
        </w:r>
        <w:r>
          <w:rPr>
            <w:webHidden/>
          </w:rPr>
          <w:fldChar w:fldCharType="begin"/>
        </w:r>
        <w:r>
          <w:rPr>
            <w:webHidden/>
          </w:rPr>
          <w:instrText xml:space="preserve"> PAGEREF _Toc198618946 \h </w:instrText>
        </w:r>
        <w:r>
          <w:rPr>
            <w:webHidden/>
          </w:rPr>
        </w:r>
        <w:r>
          <w:rPr>
            <w:webHidden/>
          </w:rPr>
          <w:fldChar w:fldCharType="separate"/>
        </w:r>
        <w:r w:rsidR="004775B7">
          <w:rPr>
            <w:webHidden/>
          </w:rPr>
          <w:t>74</w:t>
        </w:r>
        <w:r>
          <w:rPr>
            <w:webHidden/>
          </w:rPr>
          <w:fldChar w:fldCharType="end"/>
        </w:r>
      </w:hyperlink>
    </w:p>
    <w:p w14:paraId="65E25ACC" w14:textId="26014186" w:rsidR="00A03AE7" w:rsidRDefault="00A03AE7">
      <w:pPr>
        <w:pStyle w:val="21"/>
        <w:tabs>
          <w:tab w:val="right" w:leader="dot" w:pos="9061"/>
        </w:tabs>
        <w:rPr>
          <w:rFonts w:ascii="Calibri" w:hAnsi="Calibri"/>
          <w:noProof/>
          <w:kern w:val="2"/>
        </w:rPr>
      </w:pPr>
      <w:hyperlink w:anchor="_Toc198618947" w:history="1">
        <w:r w:rsidRPr="000A1A03">
          <w:rPr>
            <w:rStyle w:val="a3"/>
            <w:noProof/>
          </w:rPr>
          <w:t>ТАСС, 19.05.2025, Динамика экономического роста в РФ "охлаждается" - Силуанов</w:t>
        </w:r>
        <w:r>
          <w:rPr>
            <w:noProof/>
            <w:webHidden/>
          </w:rPr>
          <w:tab/>
        </w:r>
        <w:r>
          <w:rPr>
            <w:noProof/>
            <w:webHidden/>
          </w:rPr>
          <w:fldChar w:fldCharType="begin"/>
        </w:r>
        <w:r>
          <w:rPr>
            <w:noProof/>
            <w:webHidden/>
          </w:rPr>
          <w:instrText xml:space="preserve"> PAGEREF _Toc198618947 \h </w:instrText>
        </w:r>
        <w:r>
          <w:rPr>
            <w:noProof/>
            <w:webHidden/>
          </w:rPr>
        </w:r>
        <w:r>
          <w:rPr>
            <w:noProof/>
            <w:webHidden/>
          </w:rPr>
          <w:fldChar w:fldCharType="separate"/>
        </w:r>
        <w:r w:rsidR="004775B7">
          <w:rPr>
            <w:noProof/>
            <w:webHidden/>
          </w:rPr>
          <w:t>74</w:t>
        </w:r>
        <w:r>
          <w:rPr>
            <w:noProof/>
            <w:webHidden/>
          </w:rPr>
          <w:fldChar w:fldCharType="end"/>
        </w:r>
      </w:hyperlink>
    </w:p>
    <w:p w14:paraId="37C22478" w14:textId="1AE5F031" w:rsidR="00A03AE7" w:rsidRDefault="00A03AE7">
      <w:pPr>
        <w:pStyle w:val="31"/>
        <w:rPr>
          <w:rFonts w:ascii="Calibri" w:hAnsi="Calibri"/>
          <w:kern w:val="2"/>
        </w:rPr>
      </w:pPr>
      <w:hyperlink w:anchor="_Toc198618948" w:history="1">
        <w:r w:rsidRPr="000A1A03">
          <w:rPr>
            <w:rStyle w:val="a3"/>
          </w:rPr>
          <w:t>Темпы корпоративного и потребительского кредитования  в России снижаются и динамика экономического роста тоже "охлаждается". Об этом  журналистам заявил глава Минфина РФ Антон Силуанов.</w:t>
        </w:r>
        <w:r>
          <w:rPr>
            <w:webHidden/>
          </w:rPr>
          <w:tab/>
        </w:r>
        <w:r>
          <w:rPr>
            <w:webHidden/>
          </w:rPr>
          <w:fldChar w:fldCharType="begin"/>
        </w:r>
        <w:r>
          <w:rPr>
            <w:webHidden/>
          </w:rPr>
          <w:instrText xml:space="preserve"> PAGEREF _Toc198618948 \h </w:instrText>
        </w:r>
        <w:r>
          <w:rPr>
            <w:webHidden/>
          </w:rPr>
        </w:r>
        <w:r>
          <w:rPr>
            <w:webHidden/>
          </w:rPr>
          <w:fldChar w:fldCharType="separate"/>
        </w:r>
        <w:r w:rsidR="004775B7">
          <w:rPr>
            <w:webHidden/>
          </w:rPr>
          <w:t>74</w:t>
        </w:r>
        <w:r>
          <w:rPr>
            <w:webHidden/>
          </w:rPr>
          <w:fldChar w:fldCharType="end"/>
        </w:r>
      </w:hyperlink>
    </w:p>
    <w:p w14:paraId="2DFDD9B3" w14:textId="5D50323A" w:rsidR="00A03AE7" w:rsidRDefault="00A03AE7">
      <w:pPr>
        <w:pStyle w:val="21"/>
        <w:tabs>
          <w:tab w:val="right" w:leader="dot" w:pos="9061"/>
        </w:tabs>
        <w:rPr>
          <w:rFonts w:ascii="Calibri" w:hAnsi="Calibri"/>
          <w:noProof/>
          <w:kern w:val="2"/>
        </w:rPr>
      </w:pPr>
      <w:hyperlink w:anchor="_Toc198618949" w:history="1">
        <w:r w:rsidRPr="000A1A03">
          <w:rPr>
            <w:rStyle w:val="a3"/>
            <w:noProof/>
          </w:rPr>
          <w:t>РИА Новости, 19.05.2025, ЦБ РФ имеет большое поле возможностей для решений по денежно-кредитной политике - Силуанов</w:t>
        </w:r>
        <w:r>
          <w:rPr>
            <w:noProof/>
            <w:webHidden/>
          </w:rPr>
          <w:tab/>
        </w:r>
        <w:r>
          <w:rPr>
            <w:noProof/>
            <w:webHidden/>
          </w:rPr>
          <w:fldChar w:fldCharType="begin"/>
        </w:r>
        <w:r>
          <w:rPr>
            <w:noProof/>
            <w:webHidden/>
          </w:rPr>
          <w:instrText xml:space="preserve"> PAGEREF _Toc198618949 \h </w:instrText>
        </w:r>
        <w:r>
          <w:rPr>
            <w:noProof/>
            <w:webHidden/>
          </w:rPr>
        </w:r>
        <w:r>
          <w:rPr>
            <w:noProof/>
            <w:webHidden/>
          </w:rPr>
          <w:fldChar w:fldCharType="separate"/>
        </w:r>
        <w:r w:rsidR="004775B7">
          <w:rPr>
            <w:noProof/>
            <w:webHidden/>
          </w:rPr>
          <w:t>74</w:t>
        </w:r>
        <w:r>
          <w:rPr>
            <w:noProof/>
            <w:webHidden/>
          </w:rPr>
          <w:fldChar w:fldCharType="end"/>
        </w:r>
      </w:hyperlink>
    </w:p>
    <w:p w14:paraId="7E957427" w14:textId="70371F94" w:rsidR="00A03AE7" w:rsidRDefault="00A03AE7">
      <w:pPr>
        <w:pStyle w:val="31"/>
        <w:rPr>
          <w:rFonts w:ascii="Calibri" w:hAnsi="Calibri"/>
          <w:kern w:val="2"/>
        </w:rPr>
      </w:pPr>
      <w:hyperlink w:anchor="_Toc198618950" w:history="1">
        <w:r w:rsidRPr="000A1A03">
          <w:rPr>
            <w:rStyle w:val="a3"/>
          </w:rPr>
          <w:t>Банк России имеет большое поле возможностей для принятия решений по денежно-кредитной политике, сообщил журналистам министр финансов РФ Антон Силуанов.</w:t>
        </w:r>
        <w:r>
          <w:rPr>
            <w:webHidden/>
          </w:rPr>
          <w:tab/>
        </w:r>
        <w:r>
          <w:rPr>
            <w:webHidden/>
          </w:rPr>
          <w:fldChar w:fldCharType="begin"/>
        </w:r>
        <w:r>
          <w:rPr>
            <w:webHidden/>
          </w:rPr>
          <w:instrText xml:space="preserve"> PAGEREF _Toc198618950 \h </w:instrText>
        </w:r>
        <w:r>
          <w:rPr>
            <w:webHidden/>
          </w:rPr>
        </w:r>
        <w:r>
          <w:rPr>
            <w:webHidden/>
          </w:rPr>
          <w:fldChar w:fldCharType="separate"/>
        </w:r>
        <w:r w:rsidR="004775B7">
          <w:rPr>
            <w:webHidden/>
          </w:rPr>
          <w:t>74</w:t>
        </w:r>
        <w:r>
          <w:rPr>
            <w:webHidden/>
          </w:rPr>
          <w:fldChar w:fldCharType="end"/>
        </w:r>
      </w:hyperlink>
    </w:p>
    <w:p w14:paraId="4695EAFD" w14:textId="1AACD00E" w:rsidR="00A03AE7" w:rsidRDefault="00A03AE7">
      <w:pPr>
        <w:pStyle w:val="21"/>
        <w:tabs>
          <w:tab w:val="right" w:leader="dot" w:pos="9061"/>
        </w:tabs>
        <w:rPr>
          <w:rFonts w:ascii="Calibri" w:hAnsi="Calibri"/>
          <w:noProof/>
          <w:kern w:val="2"/>
        </w:rPr>
      </w:pPr>
      <w:hyperlink w:anchor="_Toc198618951" w:history="1">
        <w:r w:rsidRPr="000A1A03">
          <w:rPr>
            <w:rStyle w:val="a3"/>
            <w:noProof/>
          </w:rPr>
          <w:t>ТАСС, 19.05.2025, Вернуть свое: как получить налоговый вычет</w:t>
        </w:r>
        <w:r>
          <w:rPr>
            <w:noProof/>
            <w:webHidden/>
          </w:rPr>
          <w:tab/>
        </w:r>
        <w:r>
          <w:rPr>
            <w:noProof/>
            <w:webHidden/>
          </w:rPr>
          <w:fldChar w:fldCharType="begin"/>
        </w:r>
        <w:r>
          <w:rPr>
            <w:noProof/>
            <w:webHidden/>
          </w:rPr>
          <w:instrText xml:space="preserve"> PAGEREF _Toc198618951 \h </w:instrText>
        </w:r>
        <w:r>
          <w:rPr>
            <w:noProof/>
            <w:webHidden/>
          </w:rPr>
        </w:r>
        <w:r>
          <w:rPr>
            <w:noProof/>
            <w:webHidden/>
          </w:rPr>
          <w:fldChar w:fldCharType="separate"/>
        </w:r>
        <w:r w:rsidR="004775B7">
          <w:rPr>
            <w:noProof/>
            <w:webHidden/>
          </w:rPr>
          <w:t>75</w:t>
        </w:r>
        <w:r>
          <w:rPr>
            <w:noProof/>
            <w:webHidden/>
          </w:rPr>
          <w:fldChar w:fldCharType="end"/>
        </w:r>
      </w:hyperlink>
    </w:p>
    <w:p w14:paraId="0064B844" w14:textId="5A76E18F" w:rsidR="00A03AE7" w:rsidRDefault="00A03AE7">
      <w:pPr>
        <w:pStyle w:val="31"/>
        <w:rPr>
          <w:rFonts w:ascii="Calibri" w:hAnsi="Calibri"/>
          <w:kern w:val="2"/>
        </w:rPr>
      </w:pPr>
      <w:hyperlink w:anchor="_Toc198618952" w:history="1">
        <w:r w:rsidRPr="000A1A03">
          <w:rPr>
            <w:rStyle w:val="a3"/>
          </w:rPr>
          <w:t>Ежемесячно россияне уплачивают налог на доходы физических лиц (НДФЛ). Многие не знают, что часть этих средств можно вернуть в виде налогового вычета — существует несколько его видов, и разобраться в них непросто. Кто может получить такие платежи и как не запутаться в многообразии правил и условий — в материале ТАСС.</w:t>
        </w:r>
        <w:r>
          <w:rPr>
            <w:webHidden/>
          </w:rPr>
          <w:tab/>
        </w:r>
        <w:r>
          <w:rPr>
            <w:webHidden/>
          </w:rPr>
          <w:fldChar w:fldCharType="begin"/>
        </w:r>
        <w:r>
          <w:rPr>
            <w:webHidden/>
          </w:rPr>
          <w:instrText xml:space="preserve"> PAGEREF _Toc198618952 \h </w:instrText>
        </w:r>
        <w:r>
          <w:rPr>
            <w:webHidden/>
          </w:rPr>
        </w:r>
        <w:r>
          <w:rPr>
            <w:webHidden/>
          </w:rPr>
          <w:fldChar w:fldCharType="separate"/>
        </w:r>
        <w:r w:rsidR="004775B7">
          <w:rPr>
            <w:webHidden/>
          </w:rPr>
          <w:t>75</w:t>
        </w:r>
        <w:r>
          <w:rPr>
            <w:webHidden/>
          </w:rPr>
          <w:fldChar w:fldCharType="end"/>
        </w:r>
      </w:hyperlink>
    </w:p>
    <w:p w14:paraId="32FDBFB4" w14:textId="399C3409" w:rsidR="00A03AE7" w:rsidRDefault="00A03AE7">
      <w:pPr>
        <w:pStyle w:val="21"/>
        <w:tabs>
          <w:tab w:val="right" w:leader="dot" w:pos="9061"/>
        </w:tabs>
        <w:rPr>
          <w:rFonts w:ascii="Calibri" w:hAnsi="Calibri"/>
          <w:noProof/>
          <w:kern w:val="2"/>
        </w:rPr>
      </w:pPr>
      <w:hyperlink w:anchor="_Toc198618953" w:history="1">
        <w:r w:rsidRPr="000A1A03">
          <w:rPr>
            <w:rStyle w:val="a3"/>
            <w:noProof/>
          </w:rPr>
          <w:t>АиФ, 19.05.2025, Эксперты назвали суммы, которые российские пенсионеры хранят на вкладах</w:t>
        </w:r>
        <w:r>
          <w:rPr>
            <w:noProof/>
            <w:webHidden/>
          </w:rPr>
          <w:tab/>
        </w:r>
        <w:r>
          <w:rPr>
            <w:noProof/>
            <w:webHidden/>
          </w:rPr>
          <w:fldChar w:fldCharType="begin"/>
        </w:r>
        <w:r>
          <w:rPr>
            <w:noProof/>
            <w:webHidden/>
          </w:rPr>
          <w:instrText xml:space="preserve"> PAGEREF _Toc198618953 \h </w:instrText>
        </w:r>
        <w:r>
          <w:rPr>
            <w:noProof/>
            <w:webHidden/>
          </w:rPr>
        </w:r>
        <w:r>
          <w:rPr>
            <w:noProof/>
            <w:webHidden/>
          </w:rPr>
          <w:fldChar w:fldCharType="separate"/>
        </w:r>
        <w:r w:rsidR="004775B7">
          <w:rPr>
            <w:noProof/>
            <w:webHidden/>
          </w:rPr>
          <w:t>81</w:t>
        </w:r>
        <w:r>
          <w:rPr>
            <w:noProof/>
            <w:webHidden/>
          </w:rPr>
          <w:fldChar w:fldCharType="end"/>
        </w:r>
      </w:hyperlink>
    </w:p>
    <w:p w14:paraId="4BB01C4E" w14:textId="6410E7A3" w:rsidR="00A03AE7" w:rsidRDefault="00A03AE7">
      <w:pPr>
        <w:pStyle w:val="31"/>
        <w:rPr>
          <w:rFonts w:ascii="Calibri" w:hAnsi="Calibri"/>
          <w:kern w:val="2"/>
        </w:rPr>
      </w:pPr>
      <w:hyperlink w:anchor="_Toc198618954" w:history="1">
        <w:r w:rsidRPr="000A1A03">
          <w:rPr>
            <w:rStyle w:val="a3"/>
          </w:rPr>
          <w:t>По статистике, более чем у 50% пенсионеров есть открытые вклады и накопительные счета. Наиболее популярны накопительные продукты у пенсионеров в Приволжском и Северо-Западном федеральных округах.</w:t>
        </w:r>
        <w:r>
          <w:rPr>
            <w:webHidden/>
          </w:rPr>
          <w:tab/>
        </w:r>
        <w:r>
          <w:rPr>
            <w:webHidden/>
          </w:rPr>
          <w:fldChar w:fldCharType="begin"/>
        </w:r>
        <w:r>
          <w:rPr>
            <w:webHidden/>
          </w:rPr>
          <w:instrText xml:space="preserve"> PAGEREF _Toc198618954 \h </w:instrText>
        </w:r>
        <w:r>
          <w:rPr>
            <w:webHidden/>
          </w:rPr>
        </w:r>
        <w:r>
          <w:rPr>
            <w:webHidden/>
          </w:rPr>
          <w:fldChar w:fldCharType="separate"/>
        </w:r>
        <w:r w:rsidR="004775B7">
          <w:rPr>
            <w:webHidden/>
          </w:rPr>
          <w:t>81</w:t>
        </w:r>
        <w:r>
          <w:rPr>
            <w:webHidden/>
          </w:rPr>
          <w:fldChar w:fldCharType="end"/>
        </w:r>
      </w:hyperlink>
    </w:p>
    <w:p w14:paraId="3E3AC23D" w14:textId="66A3415B" w:rsidR="00A03AE7" w:rsidRDefault="00A03AE7">
      <w:pPr>
        <w:pStyle w:val="12"/>
        <w:tabs>
          <w:tab w:val="right" w:leader="dot" w:pos="9061"/>
        </w:tabs>
        <w:rPr>
          <w:rFonts w:ascii="Calibri" w:hAnsi="Calibri"/>
          <w:b w:val="0"/>
          <w:noProof/>
          <w:kern w:val="2"/>
          <w:sz w:val="24"/>
        </w:rPr>
      </w:pPr>
      <w:hyperlink w:anchor="_Toc198618955" w:history="1">
        <w:r w:rsidRPr="000A1A03">
          <w:rPr>
            <w:rStyle w:val="a3"/>
            <w:noProof/>
          </w:rPr>
          <w:t>НОВОСТИ ЗАРУБЕЖНЫХ ПЕНСИОННЫХ СИСТЕМ</w:t>
        </w:r>
        <w:r>
          <w:rPr>
            <w:noProof/>
            <w:webHidden/>
          </w:rPr>
          <w:tab/>
        </w:r>
        <w:r>
          <w:rPr>
            <w:noProof/>
            <w:webHidden/>
          </w:rPr>
          <w:fldChar w:fldCharType="begin"/>
        </w:r>
        <w:r>
          <w:rPr>
            <w:noProof/>
            <w:webHidden/>
          </w:rPr>
          <w:instrText xml:space="preserve"> PAGEREF _Toc198618955 \h </w:instrText>
        </w:r>
        <w:r>
          <w:rPr>
            <w:noProof/>
            <w:webHidden/>
          </w:rPr>
        </w:r>
        <w:r>
          <w:rPr>
            <w:noProof/>
            <w:webHidden/>
          </w:rPr>
          <w:fldChar w:fldCharType="separate"/>
        </w:r>
        <w:r w:rsidR="004775B7">
          <w:rPr>
            <w:noProof/>
            <w:webHidden/>
          </w:rPr>
          <w:t>83</w:t>
        </w:r>
        <w:r>
          <w:rPr>
            <w:noProof/>
            <w:webHidden/>
          </w:rPr>
          <w:fldChar w:fldCharType="end"/>
        </w:r>
      </w:hyperlink>
    </w:p>
    <w:p w14:paraId="6F3A7932" w14:textId="0369244B" w:rsidR="00A03AE7" w:rsidRDefault="00A03AE7">
      <w:pPr>
        <w:pStyle w:val="12"/>
        <w:tabs>
          <w:tab w:val="right" w:leader="dot" w:pos="9061"/>
        </w:tabs>
        <w:rPr>
          <w:rFonts w:ascii="Calibri" w:hAnsi="Calibri"/>
          <w:b w:val="0"/>
          <w:noProof/>
          <w:kern w:val="2"/>
          <w:sz w:val="24"/>
        </w:rPr>
      </w:pPr>
      <w:hyperlink w:anchor="_Toc198618956" w:history="1">
        <w:r w:rsidRPr="000A1A03">
          <w:rPr>
            <w:rStyle w:val="a3"/>
            <w:noProof/>
          </w:rPr>
          <w:t>Новости пенсионной отрасли стран ближнего зарубежья</w:t>
        </w:r>
        <w:r>
          <w:rPr>
            <w:noProof/>
            <w:webHidden/>
          </w:rPr>
          <w:tab/>
        </w:r>
        <w:r>
          <w:rPr>
            <w:noProof/>
            <w:webHidden/>
          </w:rPr>
          <w:fldChar w:fldCharType="begin"/>
        </w:r>
        <w:r>
          <w:rPr>
            <w:noProof/>
            <w:webHidden/>
          </w:rPr>
          <w:instrText xml:space="preserve"> PAGEREF _Toc198618956 \h </w:instrText>
        </w:r>
        <w:r>
          <w:rPr>
            <w:noProof/>
            <w:webHidden/>
          </w:rPr>
        </w:r>
        <w:r>
          <w:rPr>
            <w:noProof/>
            <w:webHidden/>
          </w:rPr>
          <w:fldChar w:fldCharType="separate"/>
        </w:r>
        <w:r w:rsidR="004775B7">
          <w:rPr>
            <w:noProof/>
            <w:webHidden/>
          </w:rPr>
          <w:t>83</w:t>
        </w:r>
        <w:r>
          <w:rPr>
            <w:noProof/>
            <w:webHidden/>
          </w:rPr>
          <w:fldChar w:fldCharType="end"/>
        </w:r>
      </w:hyperlink>
    </w:p>
    <w:p w14:paraId="3148679B" w14:textId="28D2C7EF" w:rsidR="00A03AE7" w:rsidRDefault="00A03AE7">
      <w:pPr>
        <w:pStyle w:val="21"/>
        <w:tabs>
          <w:tab w:val="right" w:leader="dot" w:pos="9061"/>
        </w:tabs>
        <w:rPr>
          <w:rFonts w:ascii="Calibri" w:hAnsi="Calibri"/>
          <w:noProof/>
          <w:kern w:val="2"/>
        </w:rPr>
      </w:pPr>
      <w:hyperlink w:anchor="_Toc198618957" w:history="1">
        <w:r w:rsidRPr="000A1A03">
          <w:rPr>
            <w:rStyle w:val="a3"/>
            <w:noProof/>
          </w:rPr>
          <w:t>Zakon.kz, 19.05.2025, Пенсионные активы: как ими управляют и почему не стоит бояться временных колебаний</w:t>
        </w:r>
        <w:r>
          <w:rPr>
            <w:noProof/>
            <w:webHidden/>
          </w:rPr>
          <w:tab/>
        </w:r>
        <w:r>
          <w:rPr>
            <w:noProof/>
            <w:webHidden/>
          </w:rPr>
          <w:fldChar w:fldCharType="begin"/>
        </w:r>
        <w:r>
          <w:rPr>
            <w:noProof/>
            <w:webHidden/>
          </w:rPr>
          <w:instrText xml:space="preserve"> PAGEREF _Toc198618957 \h </w:instrText>
        </w:r>
        <w:r>
          <w:rPr>
            <w:noProof/>
            <w:webHidden/>
          </w:rPr>
        </w:r>
        <w:r>
          <w:rPr>
            <w:noProof/>
            <w:webHidden/>
          </w:rPr>
          <w:fldChar w:fldCharType="separate"/>
        </w:r>
        <w:r w:rsidR="004775B7">
          <w:rPr>
            <w:noProof/>
            <w:webHidden/>
          </w:rPr>
          <w:t>83</w:t>
        </w:r>
        <w:r>
          <w:rPr>
            <w:noProof/>
            <w:webHidden/>
          </w:rPr>
          <w:fldChar w:fldCharType="end"/>
        </w:r>
      </w:hyperlink>
    </w:p>
    <w:p w14:paraId="41BB6346" w14:textId="55A4ED05" w:rsidR="00A03AE7" w:rsidRDefault="00A03AE7">
      <w:pPr>
        <w:pStyle w:val="31"/>
        <w:rPr>
          <w:rFonts w:ascii="Calibri" w:hAnsi="Calibri"/>
          <w:kern w:val="2"/>
        </w:rPr>
      </w:pPr>
      <w:hyperlink w:anchor="_Toc198618958" w:history="1">
        <w:r w:rsidRPr="000A1A03">
          <w:rPr>
            <w:rStyle w:val="a3"/>
          </w:rPr>
          <w:t>С начала года многие казахстанцы заметили, что на их пенсионных счетах в ЕНПФ стало меньше денег. О том, как формируются и инвестируются пенсионные накопления, почему временами сумма на счете может уменьшаться, Zakon.kz рассказала заместитель Председателя Нацбанка РК Алия Молдабекова.</w:t>
        </w:r>
        <w:r>
          <w:rPr>
            <w:webHidden/>
          </w:rPr>
          <w:tab/>
        </w:r>
        <w:r>
          <w:rPr>
            <w:webHidden/>
          </w:rPr>
          <w:fldChar w:fldCharType="begin"/>
        </w:r>
        <w:r>
          <w:rPr>
            <w:webHidden/>
          </w:rPr>
          <w:instrText xml:space="preserve"> PAGEREF _Toc198618958 \h </w:instrText>
        </w:r>
        <w:r>
          <w:rPr>
            <w:webHidden/>
          </w:rPr>
        </w:r>
        <w:r>
          <w:rPr>
            <w:webHidden/>
          </w:rPr>
          <w:fldChar w:fldCharType="separate"/>
        </w:r>
        <w:r w:rsidR="004775B7">
          <w:rPr>
            <w:webHidden/>
          </w:rPr>
          <w:t>83</w:t>
        </w:r>
        <w:r>
          <w:rPr>
            <w:webHidden/>
          </w:rPr>
          <w:fldChar w:fldCharType="end"/>
        </w:r>
      </w:hyperlink>
    </w:p>
    <w:p w14:paraId="4CDC5696" w14:textId="4899E4D3" w:rsidR="00A03AE7" w:rsidRDefault="00A03AE7">
      <w:pPr>
        <w:pStyle w:val="21"/>
        <w:tabs>
          <w:tab w:val="right" w:leader="dot" w:pos="9061"/>
        </w:tabs>
        <w:rPr>
          <w:rFonts w:ascii="Calibri" w:hAnsi="Calibri"/>
          <w:noProof/>
          <w:kern w:val="2"/>
        </w:rPr>
      </w:pPr>
      <w:hyperlink w:anchor="_Toc198618959" w:history="1">
        <w:r w:rsidRPr="000A1A03">
          <w:rPr>
            <w:rStyle w:val="a3"/>
            <w:noProof/>
          </w:rPr>
          <w:t>inbusiness.kz, 19.05.2025, ЕНПФ показал "секретный" расчет, как накопить 50 млн тенге к пенсии</w:t>
        </w:r>
        <w:r>
          <w:rPr>
            <w:noProof/>
            <w:webHidden/>
          </w:rPr>
          <w:tab/>
        </w:r>
        <w:r>
          <w:rPr>
            <w:noProof/>
            <w:webHidden/>
          </w:rPr>
          <w:fldChar w:fldCharType="begin"/>
        </w:r>
        <w:r>
          <w:rPr>
            <w:noProof/>
            <w:webHidden/>
          </w:rPr>
          <w:instrText xml:space="preserve"> PAGEREF _Toc198618959 \h </w:instrText>
        </w:r>
        <w:r>
          <w:rPr>
            <w:noProof/>
            <w:webHidden/>
          </w:rPr>
        </w:r>
        <w:r>
          <w:rPr>
            <w:noProof/>
            <w:webHidden/>
          </w:rPr>
          <w:fldChar w:fldCharType="separate"/>
        </w:r>
        <w:r w:rsidR="004775B7">
          <w:rPr>
            <w:noProof/>
            <w:webHidden/>
          </w:rPr>
          <w:t>86</w:t>
        </w:r>
        <w:r>
          <w:rPr>
            <w:noProof/>
            <w:webHidden/>
          </w:rPr>
          <w:fldChar w:fldCharType="end"/>
        </w:r>
      </w:hyperlink>
    </w:p>
    <w:p w14:paraId="3BF29062" w14:textId="4CE65EF7" w:rsidR="00A03AE7" w:rsidRDefault="00A03AE7">
      <w:pPr>
        <w:pStyle w:val="31"/>
        <w:rPr>
          <w:rFonts w:ascii="Calibri" w:hAnsi="Calibri"/>
          <w:kern w:val="2"/>
        </w:rPr>
      </w:pPr>
      <w:hyperlink w:anchor="_Toc198618960" w:history="1">
        <w:r w:rsidRPr="000A1A03">
          <w:rPr>
            <w:rStyle w:val="a3"/>
          </w:rPr>
          <w:t>Цифры не врут: если перемножить среднюю зарплату на официальное трудоустройство и стаж, казахстанцы могут с лихвой удваивать размер пенсии.</w:t>
        </w:r>
        <w:r>
          <w:rPr>
            <w:webHidden/>
          </w:rPr>
          <w:tab/>
        </w:r>
        <w:r>
          <w:rPr>
            <w:webHidden/>
          </w:rPr>
          <w:fldChar w:fldCharType="begin"/>
        </w:r>
        <w:r>
          <w:rPr>
            <w:webHidden/>
          </w:rPr>
          <w:instrText xml:space="preserve"> PAGEREF _Toc198618960 \h </w:instrText>
        </w:r>
        <w:r>
          <w:rPr>
            <w:webHidden/>
          </w:rPr>
        </w:r>
        <w:r>
          <w:rPr>
            <w:webHidden/>
          </w:rPr>
          <w:fldChar w:fldCharType="separate"/>
        </w:r>
        <w:r w:rsidR="004775B7">
          <w:rPr>
            <w:webHidden/>
          </w:rPr>
          <w:t>86</w:t>
        </w:r>
        <w:r>
          <w:rPr>
            <w:webHidden/>
          </w:rPr>
          <w:fldChar w:fldCharType="end"/>
        </w:r>
      </w:hyperlink>
    </w:p>
    <w:p w14:paraId="6399DBE9" w14:textId="78A191BA" w:rsidR="00A03AE7" w:rsidRDefault="00A03AE7">
      <w:pPr>
        <w:pStyle w:val="21"/>
        <w:tabs>
          <w:tab w:val="right" w:leader="dot" w:pos="9061"/>
        </w:tabs>
        <w:rPr>
          <w:rFonts w:ascii="Calibri" w:hAnsi="Calibri"/>
          <w:noProof/>
          <w:kern w:val="2"/>
        </w:rPr>
      </w:pPr>
      <w:hyperlink w:anchor="_Toc198618961" w:history="1">
        <w:r w:rsidRPr="000A1A03">
          <w:rPr>
            <w:rStyle w:val="a3"/>
            <w:noProof/>
          </w:rPr>
          <w:t>UPL.UZ, 19.05.2025, В Пенсионном фонде Узбекистана напомнили о надёжном пути к пенсии</w:t>
        </w:r>
        <w:r>
          <w:rPr>
            <w:noProof/>
            <w:webHidden/>
          </w:rPr>
          <w:tab/>
        </w:r>
        <w:r>
          <w:rPr>
            <w:noProof/>
            <w:webHidden/>
          </w:rPr>
          <w:fldChar w:fldCharType="begin"/>
        </w:r>
        <w:r>
          <w:rPr>
            <w:noProof/>
            <w:webHidden/>
          </w:rPr>
          <w:instrText xml:space="preserve"> PAGEREF _Toc198618961 \h </w:instrText>
        </w:r>
        <w:r>
          <w:rPr>
            <w:noProof/>
            <w:webHidden/>
          </w:rPr>
        </w:r>
        <w:r>
          <w:rPr>
            <w:noProof/>
            <w:webHidden/>
          </w:rPr>
          <w:fldChar w:fldCharType="separate"/>
        </w:r>
        <w:r w:rsidR="004775B7">
          <w:rPr>
            <w:noProof/>
            <w:webHidden/>
          </w:rPr>
          <w:t>88</w:t>
        </w:r>
        <w:r>
          <w:rPr>
            <w:noProof/>
            <w:webHidden/>
          </w:rPr>
          <w:fldChar w:fldCharType="end"/>
        </w:r>
      </w:hyperlink>
    </w:p>
    <w:p w14:paraId="20967175" w14:textId="35FFF0F5" w:rsidR="00A03AE7" w:rsidRDefault="00A03AE7">
      <w:pPr>
        <w:pStyle w:val="31"/>
        <w:rPr>
          <w:rFonts w:ascii="Calibri" w:hAnsi="Calibri"/>
          <w:kern w:val="2"/>
        </w:rPr>
      </w:pPr>
      <w:hyperlink w:anchor="_Toc198618962" w:history="1">
        <w:r w:rsidRPr="000A1A03">
          <w:rPr>
            <w:rStyle w:val="a3"/>
          </w:rPr>
          <w:t>Нередко граждане выбирают неофициальную занятость, соблазняясь перспективой быстрого заработка или немедленного получения наличных средств. Однако такое решение в долгосрочной перспективе оборачивается для них потерей ряда важных социальных гарантий.</w:t>
        </w:r>
        <w:r>
          <w:rPr>
            <w:webHidden/>
          </w:rPr>
          <w:tab/>
        </w:r>
        <w:r>
          <w:rPr>
            <w:webHidden/>
          </w:rPr>
          <w:fldChar w:fldCharType="begin"/>
        </w:r>
        <w:r>
          <w:rPr>
            <w:webHidden/>
          </w:rPr>
          <w:instrText xml:space="preserve"> PAGEREF _Toc198618962 \h </w:instrText>
        </w:r>
        <w:r>
          <w:rPr>
            <w:webHidden/>
          </w:rPr>
        </w:r>
        <w:r>
          <w:rPr>
            <w:webHidden/>
          </w:rPr>
          <w:fldChar w:fldCharType="separate"/>
        </w:r>
        <w:r w:rsidR="004775B7">
          <w:rPr>
            <w:webHidden/>
          </w:rPr>
          <w:t>88</w:t>
        </w:r>
        <w:r>
          <w:rPr>
            <w:webHidden/>
          </w:rPr>
          <w:fldChar w:fldCharType="end"/>
        </w:r>
      </w:hyperlink>
    </w:p>
    <w:p w14:paraId="073097C7" w14:textId="468B59FD" w:rsidR="00A0290C" w:rsidRPr="001267A7" w:rsidRDefault="004F5E54" w:rsidP="00310633">
      <w:pPr>
        <w:rPr>
          <w:b/>
          <w:caps/>
          <w:sz w:val="32"/>
        </w:rPr>
      </w:pPr>
      <w:r w:rsidRPr="001267A7">
        <w:rPr>
          <w:caps/>
          <w:sz w:val="28"/>
        </w:rPr>
        <w:fldChar w:fldCharType="end"/>
      </w:r>
    </w:p>
    <w:p w14:paraId="6E3B566D" w14:textId="77777777" w:rsidR="00D1642B" w:rsidRPr="001267A7" w:rsidRDefault="00D1642B" w:rsidP="00D1642B">
      <w:pPr>
        <w:pStyle w:val="251"/>
      </w:pPr>
      <w:bookmarkStart w:id="16" w:name="_Toc396864664"/>
      <w:bookmarkStart w:id="17" w:name="_Toc99318652"/>
      <w:bookmarkStart w:id="18" w:name="_Toc246216291"/>
      <w:bookmarkStart w:id="19" w:name="_Toc246297418"/>
      <w:bookmarkStart w:id="20" w:name="_Toc198618843"/>
      <w:bookmarkEnd w:id="8"/>
      <w:bookmarkEnd w:id="9"/>
      <w:bookmarkEnd w:id="10"/>
      <w:bookmarkEnd w:id="11"/>
      <w:bookmarkEnd w:id="12"/>
      <w:bookmarkEnd w:id="13"/>
      <w:bookmarkEnd w:id="14"/>
      <w:bookmarkEnd w:id="15"/>
      <w:r w:rsidRPr="001267A7">
        <w:lastRenderedPageBreak/>
        <w:t>НОВОСТИ ПЕНСИОННОЙ ОТРАСЛИ</w:t>
      </w:r>
      <w:bookmarkEnd w:id="16"/>
      <w:bookmarkEnd w:id="17"/>
      <w:bookmarkEnd w:id="20"/>
    </w:p>
    <w:p w14:paraId="756F8915" w14:textId="77777777" w:rsidR="00111D7C" w:rsidRPr="001267A7" w:rsidRDefault="00111D7C" w:rsidP="00111D7C">
      <w:pPr>
        <w:pStyle w:val="10"/>
      </w:pPr>
      <w:bookmarkStart w:id="21" w:name="_Toc99271685"/>
      <w:bookmarkStart w:id="22" w:name="_Toc99318653"/>
      <w:bookmarkStart w:id="23" w:name="_Toc165991072"/>
      <w:bookmarkStart w:id="24" w:name="_Toc246987631"/>
      <w:bookmarkStart w:id="25" w:name="_Toc248632297"/>
      <w:bookmarkStart w:id="26" w:name="_Toc251223975"/>
      <w:bookmarkStart w:id="27" w:name="_Toc198618844"/>
      <w:bookmarkEnd w:id="18"/>
      <w:bookmarkEnd w:id="19"/>
      <w:r w:rsidRPr="001267A7">
        <w:t>Новости отрасли НПФ</w:t>
      </w:r>
      <w:bookmarkEnd w:id="21"/>
      <w:bookmarkEnd w:id="22"/>
      <w:bookmarkEnd w:id="23"/>
      <w:bookmarkEnd w:id="27"/>
    </w:p>
    <w:p w14:paraId="52EAE3A3" w14:textId="77777777" w:rsidR="00CB1906" w:rsidRPr="001267A7" w:rsidRDefault="00CB1906" w:rsidP="00CB1906">
      <w:pPr>
        <w:pStyle w:val="2"/>
      </w:pPr>
      <w:bookmarkStart w:id="28" w:name="a1"/>
      <w:bookmarkStart w:id="29" w:name="_Toc198618845"/>
      <w:bookmarkEnd w:id="28"/>
      <w:r w:rsidRPr="001267A7">
        <w:t>Конкурент, 19.05.2025, Набиуллина поставила точку в важном вопросе. На кону стоят пенсионные деньги</w:t>
      </w:r>
      <w:bookmarkEnd w:id="29"/>
    </w:p>
    <w:p w14:paraId="182BCB8B" w14:textId="77777777" w:rsidR="00CB1906" w:rsidRPr="001267A7" w:rsidRDefault="00CB1906" w:rsidP="00593D6A">
      <w:pPr>
        <w:pStyle w:val="3"/>
      </w:pPr>
      <w:bookmarkStart w:id="30" w:name="_Toc198618846"/>
      <w:r w:rsidRPr="001267A7">
        <w:t>Идея развивать российский фондовый рынок за счет перекладывания части рисков на будущих пенсионеров никогда не получит поддержки у Центрального банка РФ. Такое обещание во время конференции Национальной ассоциации участников фондового рынка «Российский фондовый рынок 2025» дала председатель ЦБ Эльвира Набиуллина.</w:t>
      </w:r>
      <w:bookmarkEnd w:id="30"/>
    </w:p>
    <w:p w14:paraId="632C597A" w14:textId="77777777" w:rsidR="00CB1906" w:rsidRPr="001267A7" w:rsidRDefault="00CB1906" w:rsidP="00CB1906">
      <w:r w:rsidRPr="001267A7">
        <w:t>Она отреагировала на слова президента НАУФОР Алексея Тимофеева, который предложил дать негосударственным пенсионным фондам право на риск при инвестициях в акции отечественных компаний.</w:t>
      </w:r>
    </w:p>
    <w:p w14:paraId="37719030" w14:textId="77777777" w:rsidR="00CB1906" w:rsidRPr="001267A7" w:rsidRDefault="00CB1906" w:rsidP="00CB1906">
      <w:r w:rsidRPr="001267A7">
        <w:t>По словам Набиуллиной, речь в прямом смысле идет об идее допустить возможность потери денег пенсионеров, что уже происходило в прошлые годы и с чем регулятору пришлось бороться.</w:t>
      </w:r>
    </w:p>
    <w:p w14:paraId="1AB54660" w14:textId="77777777" w:rsidR="00CB1906" w:rsidRPr="001267A7" w:rsidRDefault="00CB1906" w:rsidP="00CB1906">
      <w:r w:rsidRPr="001267A7">
        <w:t>«Мы помним прекрасно, проходили вместе с вами, скажем мягко, наведение порядка в НПФ, когда пенсионные фонды брали на себя достаточно много риска, и те механизмы, от которых вы предлагаете отказаться, – это как раз страховка для того, чтобы не вернуться в эту ситуацию», – подчеркнула глава Банка России.</w:t>
      </w:r>
    </w:p>
    <w:p w14:paraId="3759888C" w14:textId="77777777" w:rsidR="00CB1906" w:rsidRPr="001267A7" w:rsidRDefault="00CB1906" w:rsidP="00CB1906">
      <w:r w:rsidRPr="001267A7">
        <w:t>До этого в мае президент РФ Владимир Путин поручил правительству вместе с Центробанком продумать инструмент, который мог бы снять с НПФ часть рисков при инвестировании средств клиентов в акции. Тогда Набиуллина заявляла, что политика ЦБ в отношении НПФ должна быть жестче, чем в случае с банками, так как на кону стоят пенсионные деньги.</w:t>
      </w:r>
    </w:p>
    <w:p w14:paraId="00D83B21" w14:textId="77777777" w:rsidR="00CB1906" w:rsidRDefault="00CB1906" w:rsidP="00CB1906">
      <w:hyperlink r:id="rId8" w:history="1">
        <w:r w:rsidRPr="001267A7">
          <w:rPr>
            <w:rStyle w:val="a3"/>
          </w:rPr>
          <w:t>https://konkurent.ru/article/77399</w:t>
        </w:r>
      </w:hyperlink>
      <w:r w:rsidRPr="001267A7">
        <w:t xml:space="preserve"> </w:t>
      </w:r>
    </w:p>
    <w:p w14:paraId="0261136B" w14:textId="77777777" w:rsidR="00C80FF5" w:rsidRDefault="00C80FF5" w:rsidP="00C80FF5">
      <w:pPr>
        <w:pStyle w:val="2"/>
      </w:pPr>
      <w:bookmarkStart w:id="31" w:name="_Toc198618847"/>
      <w:r>
        <w:t>Пенсия.pro, 19.05.2025, Банк России выступил против активного вложения средств НПФ в акции</w:t>
      </w:r>
      <w:bookmarkEnd w:id="31"/>
    </w:p>
    <w:p w14:paraId="6132ACB6" w14:textId="77777777" w:rsidR="00C80FF5" w:rsidRDefault="00C80FF5" w:rsidP="00593D6A">
      <w:pPr>
        <w:pStyle w:val="3"/>
      </w:pPr>
      <w:bookmarkStart w:id="32" w:name="_Toc198618848"/>
      <w:r>
        <w:t>Глава Банка России Эльвира Набиуллина высказалась резко против идеи развивать фондовый рынок за счет пенсионных накоплений граждан. Это стало ответом на жалобы президента Национальной ассоциацией участников фондового рынка (НАУФОР) Алексея Тимофеева о барьерах, которые препятствуют инвестициям НПФ.</w:t>
      </w:r>
      <w:bookmarkEnd w:id="32"/>
    </w:p>
    <w:p w14:paraId="7018BA56" w14:textId="77777777" w:rsidR="00C80FF5" w:rsidRDefault="00C80FF5" w:rsidP="00C80FF5">
      <w:r>
        <w:t>«Развивать рынок акций за счет перекладывания рисков на будущих пенсионеров - мы с этим не согласимся», - заявила Набиуллина на конференции «Российский фондовый рынок - 2025» (цитата по РБК). Глава ЦБ сказала, что смягчать требования к инвестициям негосударственных пенсионных фондов надо «аккуратно».</w:t>
      </w:r>
    </w:p>
    <w:p w14:paraId="7FB15C44" w14:textId="77777777" w:rsidR="00C80FF5" w:rsidRDefault="00C80FF5" w:rsidP="00C80FF5">
      <w:r>
        <w:lastRenderedPageBreak/>
        <w:t xml:space="preserve">Президент НАУФОР посетовал, что НПФ сейчас в основном вкладываются в облигации, которые не всегда дают высокую доходность. Он назвал три барьера, которые не дают фондам инвестировать в акции:  </w:t>
      </w:r>
    </w:p>
    <w:p w14:paraId="522D939D" w14:textId="77777777" w:rsidR="00C80FF5" w:rsidRDefault="00C80FF5" w:rsidP="00C80FF5">
      <w:r>
        <w:t>•</w:t>
      </w:r>
      <w:r>
        <w:tab/>
        <w:t xml:space="preserve">Стресс-тестирование ЦБ, в результате которого НПФ может быть объявлен несостоятельным. </w:t>
      </w:r>
    </w:p>
    <w:p w14:paraId="3984D211" w14:textId="77777777" w:rsidR="00C80FF5" w:rsidRDefault="00C80FF5" w:rsidP="00C80FF5">
      <w:r>
        <w:t>•</w:t>
      </w:r>
      <w:r>
        <w:tab/>
        <w:t xml:space="preserve">По закону НПФ должны обеспечивать клиентам безубыточность на горизонте от одного до пяти лет в зависимости от условий, прописанных в договоре. Эта норма практически полностью исключает инвестиции в акции, считает глава НАУФОР. </w:t>
      </w:r>
    </w:p>
    <w:p w14:paraId="377B9C76" w14:textId="77777777" w:rsidR="00C80FF5" w:rsidRDefault="00C80FF5" w:rsidP="00C80FF5">
      <w:r>
        <w:t>•</w:t>
      </w:r>
      <w:r>
        <w:tab/>
        <w:t xml:space="preserve">Фидуциарная ответственность. Если НПФ не сможет доказать обоснованность своего инвестиционного решения Центробанку, владельцам фонда придется компенсировать разницу между лучшим инвестрешением по мнению регулятора и тем, которое сделал фонд. </w:t>
      </w:r>
    </w:p>
    <w:p w14:paraId="1C2E1CE2" w14:textId="77777777" w:rsidR="00C80FF5" w:rsidRDefault="00C80FF5" w:rsidP="00C80FF5">
      <w:r>
        <w:t>Ранее президент РФ Владимир Путин поручил ЦБ и Минфину продумать механизм который позволил бы снять с НПФ часть рисков при инвестировании средств клиентов в акции. При этом Набиуллина заявила, что ЦБ уже смягчил некоторые требования к инвестициям, а в 2025 году планирует разрешить фондам вкладываться в еще больше акций не из индекса Мосбиржи. Набиуллина также резко отвергла идею отказаться от стресс-тестирования НПФ, сообщив, что регулятор намерен активно развивать данный механизм проверки фондов на финансовую устойчивость.</w:t>
      </w:r>
    </w:p>
    <w:p w14:paraId="3016BE8D" w14:textId="77777777" w:rsidR="00C80FF5" w:rsidRPr="001267A7" w:rsidRDefault="00C80FF5" w:rsidP="00C80FF5">
      <w:hyperlink r:id="rId9" w:history="1">
        <w:r w:rsidRPr="00C4501F">
          <w:rPr>
            <w:rStyle w:val="a3"/>
          </w:rPr>
          <w:t>https://pensiya.pro/news/bank-rossii-vystupil-protiv-aktivnogo-vlozheniya-sredstv-npf-v-akczii/</w:t>
        </w:r>
      </w:hyperlink>
      <w:r>
        <w:t xml:space="preserve"> </w:t>
      </w:r>
    </w:p>
    <w:p w14:paraId="739906C1" w14:textId="77777777" w:rsidR="002D1160" w:rsidRPr="001267A7" w:rsidRDefault="002D1160" w:rsidP="002D1160">
      <w:pPr>
        <w:pStyle w:val="2"/>
      </w:pPr>
      <w:bookmarkStart w:id="33" w:name="a2"/>
      <w:bookmarkStart w:id="34" w:name="_Toc198618849"/>
      <w:bookmarkEnd w:id="33"/>
      <w:r w:rsidRPr="001267A7">
        <w:t>AK&amp;M, 19.05.2025, Россияне ответили, изменили бы они что-то в своей жизни, если бы снова стали выпускниками</w:t>
      </w:r>
      <w:bookmarkEnd w:id="34"/>
    </w:p>
    <w:p w14:paraId="50A50AA8" w14:textId="77777777" w:rsidR="002D1160" w:rsidRPr="00CE35A6" w:rsidRDefault="002D1160" w:rsidP="00593D6A">
      <w:pPr>
        <w:pStyle w:val="3"/>
      </w:pPr>
      <w:bookmarkStart w:id="35" w:name="_Toc198618850"/>
      <w:r w:rsidRPr="001267A7">
        <w:t>Свыше 46% россиян, если бы снова оказались выпускниками и стояли на пороге взрослой жизни, ничего не стали бы в ней менять. В то же время 15% выбрали бы другой вуз или профессию, 13% переехали в другой город, а 3% — в другую страну. Построили бы отношения с другим человеком 6% респондентов, а около 3% начали бы вести здоровый образ жизни или разумнее тратить деньги. Такие результаты были получены в результате исследования НПФ «Социум» и страховой компании «Ингосстрах».</w:t>
      </w:r>
      <w:bookmarkEnd w:id="35"/>
      <w:r w:rsidRPr="001267A7">
        <w:t xml:space="preserve"> </w:t>
      </w:r>
    </w:p>
    <w:p w14:paraId="6696A246" w14:textId="77777777" w:rsidR="002D1160" w:rsidRPr="001267A7" w:rsidRDefault="002D1160" w:rsidP="002D1160">
      <w:r w:rsidRPr="001267A7">
        <w:t>Опрос провел Финуниверситет при Правительстве РФ, в нем приняли участие 6000 респондентов в возрасте 35-65 лет, из 37 городов России численностью от 500 тыс.</w:t>
      </w:r>
    </w:p>
    <w:p w14:paraId="3BDC5011" w14:textId="77777777" w:rsidR="002D1160" w:rsidRPr="001267A7" w:rsidRDefault="002D1160" w:rsidP="002D1160">
      <w:r w:rsidRPr="001267A7">
        <w:t xml:space="preserve">«Каждый взрослый человек сталкивался с финансовыми трудностями и совершал ошибки, которые имели губительные последствия для бюджета, но иногда в этом тяжело признаться даже самому себе. Думаю, именно поэтому только 3% респондентов ответили, что хотели бы научиться разумно управлять деньгами, если бы начали свою взрослую жизнь заново. Большинство опрошенных слукавили, потому что тема денег очень личная и триггерная для большинства. Здесь важно осознать, что совершать и признавать свои ошибки — это нормально. С этим вопросом необходимо работать на уровне финансового просвещения, так как следующие ответы подсветили, что необходимость в финансовом образовании все-таки есть», — рассказала директор по </w:t>
      </w:r>
      <w:r w:rsidRPr="001267A7">
        <w:lastRenderedPageBreak/>
        <w:t>развитию НПФ «Социум», волонтёр-эксперт проекта «Профессионалы финансовых технологий» Ассоциации развития финансовой грамотности Марина Тришина.</w:t>
      </w:r>
    </w:p>
    <w:p w14:paraId="0DF86097" w14:textId="77777777" w:rsidR="002D1160" w:rsidRPr="001267A7" w:rsidRDefault="002D1160" w:rsidP="002D1160">
      <w:r w:rsidRPr="001267A7">
        <w:t>Как показывают результаты исследования, более половины (52%) россиян считают, что финансовую грамотность нужно преподавать в школе, а 8% более категоричны и выступают за то, чтобы этот предмет вводили уже в детских садах. 16% убеждены, что финансовую культуру нужно прививать в семье.</w:t>
      </w:r>
    </w:p>
    <w:p w14:paraId="0C9E2E1E" w14:textId="77777777" w:rsidR="002D1160" w:rsidRPr="001267A7" w:rsidRDefault="002D1160" w:rsidP="002D1160">
      <w:r w:rsidRPr="001267A7">
        <w:t xml:space="preserve">«Несмотря на то, что опрошенные не хотят признавать пробел в своем финансовом образовании, больше половины респондентов считает, что финансовая грамотность должна быть включена в школьную программу. На мой взгляд, понимание основ финансовой безопасности должно быть сформировано с самого раннего детства в семье. Любой ребенок неосознанно копирует финансовую модель, которую наблюдает в семье, поэтому прежде, чем завести разговор о деньгах, родитель должен проанализировать свое финансовое поведение. На этом этапе важно провести анализ расходов и наметить финансовые цели в краткосрочной и долгосрочной перспективе на будущее. Так, родители могу подготовить ребенка к взрослой жизни с помощью долгосрочных накоплений. Например, открыть счет в </w:t>
      </w:r>
      <w:r w:rsidRPr="001267A7">
        <w:rPr>
          <w:b/>
        </w:rPr>
        <w:t>Программе долгосрочных сбережений</w:t>
      </w:r>
      <w:r w:rsidRPr="001267A7">
        <w:t>», — отметила эксперт.</w:t>
      </w:r>
    </w:p>
    <w:p w14:paraId="2B5BDD49" w14:textId="77777777" w:rsidR="002D1160" w:rsidRPr="001267A7" w:rsidRDefault="002D1160" w:rsidP="002D1160">
      <w:r w:rsidRPr="001267A7">
        <w:t>Интересно, что женщины чаще мужчин в школе не планировали свое будущее — 35% против 16% соответственно. Каждый третий (30%) мужчина отметил, что в полной или большей степени ему удалось реализовать все намеченные в выпускном классе планы на жизнь. Среди женщин таких всего 12%.</w:t>
      </w:r>
    </w:p>
    <w:p w14:paraId="7E450FAF" w14:textId="77777777" w:rsidR="002D1160" w:rsidRPr="001267A7" w:rsidRDefault="002D1160" w:rsidP="002D1160">
      <w:r w:rsidRPr="001267A7">
        <w:t>Не хотели бы вернуться в «школьные годы чудесные» 66% мужчин и 55% женщин. Самым радостным воспоминанием о школе для большинства (47%) остаются воспоминания об уроках и преподавателях, 24% ностальгирует о новых знаниях и открытиях, 12% — о школьных друзьях. У такого же количества респондентов нет радостных воспоминаний о школе.</w:t>
      </w:r>
    </w:p>
    <w:p w14:paraId="3A77A86E" w14:textId="77777777" w:rsidR="002D1160" w:rsidRPr="001267A7" w:rsidRDefault="002D1160" w:rsidP="002D1160">
      <w:r w:rsidRPr="001267A7">
        <w:t>«Думаю, что у каждого из нас остались приятные воспоминания о школьном времени. Это период, когда мы взрослеем, формируемся как личности выбираем будущую профессию. Интересно, что 13% опрошенных при выборе профессии ориентировались на престижность сферы, а 15% на перспективу высокой зарплаты. Поколение, которое приняло участие в опросе исходя из своего опыта уже может учить своих детей не повторяться свои ошибки. Современные выпускники имеют возможность более тщательно изучить рынок профессий, учитывая не только текущий уровень зарплат, но и долгосрочный потенциал роста и перспективность выбранной отрасли», — подчеркнула Марина Тришина.</w:t>
      </w:r>
    </w:p>
    <w:p w14:paraId="1B85678B" w14:textId="77777777" w:rsidR="002D1160" w:rsidRPr="001267A7" w:rsidRDefault="002D1160" w:rsidP="002D1160">
      <w:r w:rsidRPr="001267A7">
        <w:t xml:space="preserve">Однако 28% при выборе профессионального пути во главу угла ставили собственные увлечения и интересы. 58% ответили, что довлеющими фактором стало мнение родителей или знакомых. </w:t>
      </w:r>
    </w:p>
    <w:p w14:paraId="67E20254" w14:textId="77777777" w:rsidR="00111D7C" w:rsidRPr="001267A7" w:rsidRDefault="002D1160" w:rsidP="002D1160">
      <w:hyperlink r:id="rId10" w:history="1">
        <w:r w:rsidRPr="001267A7">
          <w:rPr>
            <w:rStyle w:val="a3"/>
          </w:rPr>
          <w:t>https://www.akm.ru/press/rossiyane_otvetili_izmenili_by_oni_chto_to_v_svoey_zhizni_esli_by_snova_stali_vypusknikami/</w:t>
        </w:r>
      </w:hyperlink>
    </w:p>
    <w:p w14:paraId="6480519D" w14:textId="77777777" w:rsidR="002D1160" w:rsidRPr="001267A7" w:rsidRDefault="002D1160" w:rsidP="002D1160"/>
    <w:p w14:paraId="29C7F2F7" w14:textId="77777777" w:rsidR="00111D7C" w:rsidRPr="00CE35A6" w:rsidRDefault="00111D7C" w:rsidP="00111D7C">
      <w:pPr>
        <w:pStyle w:val="10"/>
      </w:pPr>
      <w:bookmarkStart w:id="36" w:name="_Toc165991073"/>
      <w:bookmarkStart w:id="37" w:name="_Toc99271691"/>
      <w:bookmarkStart w:id="38" w:name="_Toc99318654"/>
      <w:bookmarkStart w:id="39" w:name="_Toc99318783"/>
      <w:bookmarkStart w:id="40" w:name="_Toc396864672"/>
      <w:bookmarkStart w:id="41" w:name="_Toc198618851"/>
      <w:r w:rsidRPr="001267A7">
        <w:lastRenderedPageBreak/>
        <w:t>Программа долгосрочных сбережений</w:t>
      </w:r>
      <w:bookmarkEnd w:id="36"/>
      <w:bookmarkEnd w:id="41"/>
    </w:p>
    <w:p w14:paraId="76C0BC07" w14:textId="77777777" w:rsidR="00D94874" w:rsidRPr="00D94874" w:rsidRDefault="00D94874" w:rsidP="00D94874">
      <w:pPr>
        <w:pStyle w:val="2"/>
      </w:pPr>
      <w:bookmarkStart w:id="42" w:name="_Toc198618852"/>
      <w:r w:rsidRPr="00D94874">
        <w:t>Российская газета, 19.05.2025, Бизнес получит льготы за софинансирование пенсионных накоплений сотрудников</w:t>
      </w:r>
      <w:bookmarkEnd w:id="42"/>
    </w:p>
    <w:p w14:paraId="5AFA51A0" w14:textId="77777777" w:rsidR="00D94874" w:rsidRPr="00D94874" w:rsidRDefault="00D94874" w:rsidP="00593D6A">
      <w:pPr>
        <w:pStyle w:val="3"/>
      </w:pPr>
      <w:bookmarkStart w:id="43" w:name="_Toc198618853"/>
      <w:r w:rsidRPr="00D94874">
        <w:t>Речь идёт о новой мере государственной поддержки, согласно которой компании смогут учесть до 12% от фонда оплаты труда в качестве расходов, если эти средства направлены на софинансирование долгосрочных сбережений работников. Этот механизм вводится в рамках развития программы долгосрочных сбережений (ПДС), которая уже начала набирать обороты: только к весне 2025 года заключено более четырёх миллионов договоров на общую сумму около 300 млрд рублей.</w:t>
      </w:r>
      <w:bookmarkEnd w:id="43"/>
    </w:p>
    <w:p w14:paraId="501A5558" w14:textId="77777777" w:rsidR="00D94874" w:rsidRPr="00D94874" w:rsidRDefault="00D94874" w:rsidP="00D94874">
      <w:r w:rsidRPr="00D94874">
        <w:t>"Сам принцип прост: если сотрудник откладывает часть своих доходов на пенсию, работодатель может внести аналогичную сумму, и эта сумма будет учтена при расчёте налога на прибыль как обычный расход. Например, если сотрудник инвестирует 36 тысяч рублей в год, компания может добавить столько же. Кроме налоговой выгоды, это даёт организациям реальный инструмент удержания кадров и повышения привлекательности условий труда без прямого увеличения заработной платы. С учётом дефицита квалифицированных специалистов в отдельных секторах, особенно среди субъектов малого и среднего предпринимательства, подобные меры могут рассматриваться как средство повышения конкурентоспособности работодателей на рынке труда", - рассказал "Российской газете" депутат госдумы, член Комитета госдумы по малому и среднему предпринимательству Алексей Говырин (фракция "Единая Россия").</w:t>
      </w:r>
    </w:p>
    <w:p w14:paraId="1D48F23A" w14:textId="77777777" w:rsidR="00D94874" w:rsidRPr="00D94874" w:rsidRDefault="00D94874" w:rsidP="00D94874">
      <w:r w:rsidRPr="00D94874">
        <w:t>Он отмечает, что для МСП возможность законно и прозрачно уменьшить налогооблагаемую базу за счёт инвестиций в будущее своих работников выглядит особенно ценно. У таких компаний часто нет финансового ресурса на крупные премии или расширенные соцпакеты, а участие в ПДС позволяет зафиксировать лояльность персонала и одновременно снизить налоговые платежи. При этом структура самой программы не требует создания сложных механизмов администрирования. Кроме того, благодаря государственному субсидированию, сотрудники получают ощутимую прибавку к своим накоплениям, что усиливает мотивацию участия.</w:t>
      </w:r>
    </w:p>
    <w:p w14:paraId="12816C12" w14:textId="77777777" w:rsidR="00D94874" w:rsidRPr="00D94874" w:rsidRDefault="00D94874" w:rsidP="00D94874">
      <w:r w:rsidRPr="00D94874">
        <w:t>"В перспективе, при достаточно широком внедрении, эта модель может сформировать новый уровень вовлечённости бизнеса в формирование пенсионной устойчивости граждан. Она позволяет совместить интересы работников, работодателей и государства, не прибегая к повышению налоговой нагрузки или усложнению нормативной базы. Для МСП это рациональное вложение в человеческий капитал с налоговым сопровождением", - заключил депутат.</w:t>
      </w:r>
    </w:p>
    <w:p w14:paraId="0A1BAF95" w14:textId="77777777" w:rsidR="00D94874" w:rsidRPr="00D94874" w:rsidRDefault="00D94874" w:rsidP="00D94874">
      <w:r w:rsidRPr="00D94874">
        <w:t>Ранее сообщалось, что Комиссия правительства по законопроектной деятельности поддержала законопроект о новых льготах для работодателей, которые формируют взносы в пользу работников в рамках программы долгосрочных сбережений (ПДС).</w:t>
      </w:r>
    </w:p>
    <w:p w14:paraId="632B8DB7" w14:textId="77777777" w:rsidR="00D94874" w:rsidRPr="00CE35A6" w:rsidRDefault="00D94874" w:rsidP="00D94874">
      <w:hyperlink r:id="rId11" w:history="1">
        <w:r w:rsidRPr="00C4501F">
          <w:rPr>
            <w:rStyle w:val="a3"/>
            <w:lang w:val="en-US"/>
          </w:rPr>
          <w:t>https</w:t>
        </w:r>
        <w:r w:rsidRPr="00CE35A6">
          <w:rPr>
            <w:rStyle w:val="a3"/>
          </w:rPr>
          <w:t>://</w:t>
        </w:r>
        <w:r w:rsidRPr="00C4501F">
          <w:rPr>
            <w:rStyle w:val="a3"/>
            <w:lang w:val="en-US"/>
          </w:rPr>
          <w:t>rg</w:t>
        </w:r>
        <w:r w:rsidRPr="00CE35A6">
          <w:rPr>
            <w:rStyle w:val="a3"/>
          </w:rPr>
          <w:t>.</w:t>
        </w:r>
        <w:r w:rsidRPr="00C4501F">
          <w:rPr>
            <w:rStyle w:val="a3"/>
            <w:lang w:val="en-US"/>
          </w:rPr>
          <w:t>ru</w:t>
        </w:r>
        <w:r w:rsidRPr="00CE35A6">
          <w:rPr>
            <w:rStyle w:val="a3"/>
          </w:rPr>
          <w:t>/2025/05/19/</w:t>
        </w:r>
        <w:r w:rsidRPr="00C4501F">
          <w:rPr>
            <w:rStyle w:val="a3"/>
            <w:lang w:val="en-US"/>
          </w:rPr>
          <w:t>biznes</w:t>
        </w:r>
        <w:r w:rsidRPr="00CE35A6">
          <w:rPr>
            <w:rStyle w:val="a3"/>
          </w:rPr>
          <w:t>-</w:t>
        </w:r>
        <w:r w:rsidRPr="00C4501F">
          <w:rPr>
            <w:rStyle w:val="a3"/>
            <w:lang w:val="en-US"/>
          </w:rPr>
          <w:t>poluchit</w:t>
        </w:r>
        <w:r w:rsidRPr="00CE35A6">
          <w:rPr>
            <w:rStyle w:val="a3"/>
          </w:rPr>
          <w:t>-</w:t>
        </w:r>
        <w:r w:rsidRPr="00C4501F">
          <w:rPr>
            <w:rStyle w:val="a3"/>
            <w:lang w:val="en-US"/>
          </w:rPr>
          <w:t>lgoty</w:t>
        </w:r>
        <w:r w:rsidRPr="00CE35A6">
          <w:rPr>
            <w:rStyle w:val="a3"/>
          </w:rPr>
          <w:t>-</w:t>
        </w:r>
        <w:r w:rsidRPr="00C4501F">
          <w:rPr>
            <w:rStyle w:val="a3"/>
            <w:lang w:val="en-US"/>
          </w:rPr>
          <w:t>za</w:t>
        </w:r>
        <w:r w:rsidRPr="00CE35A6">
          <w:rPr>
            <w:rStyle w:val="a3"/>
          </w:rPr>
          <w:t>-</w:t>
        </w:r>
        <w:r w:rsidRPr="00C4501F">
          <w:rPr>
            <w:rStyle w:val="a3"/>
            <w:lang w:val="en-US"/>
          </w:rPr>
          <w:t>sofinansirovanie</w:t>
        </w:r>
        <w:r w:rsidRPr="00CE35A6">
          <w:rPr>
            <w:rStyle w:val="a3"/>
          </w:rPr>
          <w:t>-</w:t>
        </w:r>
        <w:r w:rsidRPr="00C4501F">
          <w:rPr>
            <w:rStyle w:val="a3"/>
            <w:lang w:val="en-US"/>
          </w:rPr>
          <w:t>pensionnyh</w:t>
        </w:r>
        <w:r w:rsidRPr="00CE35A6">
          <w:rPr>
            <w:rStyle w:val="a3"/>
          </w:rPr>
          <w:t>-</w:t>
        </w:r>
        <w:r w:rsidRPr="00C4501F">
          <w:rPr>
            <w:rStyle w:val="a3"/>
            <w:lang w:val="en-US"/>
          </w:rPr>
          <w:t>nakoplenij</w:t>
        </w:r>
        <w:r w:rsidRPr="00CE35A6">
          <w:rPr>
            <w:rStyle w:val="a3"/>
          </w:rPr>
          <w:t>-</w:t>
        </w:r>
        <w:r w:rsidRPr="00C4501F">
          <w:rPr>
            <w:rStyle w:val="a3"/>
            <w:lang w:val="en-US"/>
          </w:rPr>
          <w:t>sotrudnikov</w:t>
        </w:r>
        <w:r w:rsidRPr="00CE35A6">
          <w:rPr>
            <w:rStyle w:val="a3"/>
          </w:rPr>
          <w:t>.</w:t>
        </w:r>
        <w:r w:rsidRPr="00C4501F">
          <w:rPr>
            <w:rStyle w:val="a3"/>
            <w:lang w:val="en-US"/>
          </w:rPr>
          <w:t>html</w:t>
        </w:r>
      </w:hyperlink>
      <w:r w:rsidRPr="00CE35A6">
        <w:t xml:space="preserve"> </w:t>
      </w:r>
    </w:p>
    <w:p w14:paraId="18E8943A" w14:textId="77777777" w:rsidR="00302175" w:rsidRPr="001267A7" w:rsidRDefault="00302175" w:rsidP="00302175">
      <w:pPr>
        <w:pStyle w:val="2"/>
      </w:pPr>
      <w:bookmarkStart w:id="44" w:name="a3"/>
      <w:bookmarkStart w:id="45" w:name="_Hlk198618111"/>
      <w:bookmarkStart w:id="46" w:name="_Toc198618854"/>
      <w:bookmarkEnd w:id="44"/>
      <w:r w:rsidRPr="001267A7">
        <w:lastRenderedPageBreak/>
        <w:t>Российская газета, 19.05.2025, Эксперт Беляков объяснил, как значительно увеличить доход на пенсии</w:t>
      </w:r>
      <w:bookmarkEnd w:id="46"/>
    </w:p>
    <w:p w14:paraId="2D8B3A61" w14:textId="77777777" w:rsidR="00302175" w:rsidRPr="001267A7" w:rsidRDefault="00302175" w:rsidP="00593D6A">
      <w:pPr>
        <w:pStyle w:val="3"/>
      </w:pPr>
      <w:bookmarkStart w:id="47" w:name="_Toc198618855"/>
      <w:r w:rsidRPr="001267A7">
        <w:t>Средний размер пенсии в России составляет 23 175 рублей. Государство придерживается ответственной социальной политики и регулярно индексирует пенсии. Но размер дохода на пенсии можно увеличить и самостоятельно, если позаботиться об этом заранее. Как это сделать, "РГ" рассказал президент Национальной ассоциации негосударственных пенсионных фондов (НАПФ) Сергей Беляков:</w:t>
      </w:r>
      <w:bookmarkEnd w:id="47"/>
    </w:p>
    <w:p w14:paraId="514B75C0" w14:textId="77777777" w:rsidR="00302175" w:rsidRPr="001267A7" w:rsidRDefault="00302175" w:rsidP="00302175">
      <w:r w:rsidRPr="001267A7">
        <w:t>- Эксперты Международной организации труда считают, что пенсия должна составлять хотя бы 40% от прежних доходов. Чтобы выйти на этот рекомендуемый уровень или даже превысить его, есть несколько решений.</w:t>
      </w:r>
    </w:p>
    <w:p w14:paraId="56F130C6" w14:textId="77777777" w:rsidR="00302175" w:rsidRPr="001267A7" w:rsidRDefault="00302175" w:rsidP="00302175">
      <w:r w:rsidRPr="001267A7">
        <w:t>Представим сорокалетнюю женщину с зарплатой в 80 тысяч рублей, которая решила 5% этих денег тратить на создание финансовой подушки для себя в будущем. Что ей выбрать на эти четыре тысячи рублей в месяц?</w:t>
      </w:r>
    </w:p>
    <w:p w14:paraId="7DE8F697" w14:textId="77777777" w:rsidR="00302175" w:rsidRPr="001267A7" w:rsidRDefault="00302175" w:rsidP="00302175">
      <w:r w:rsidRPr="001267A7">
        <w:t>Во-первых, она может принять участие в Программе долгосрочных сбережений (ПДС), операторами которой определены негосударственные пенсионные фонды. Это один из самых простых вариантов улучшения дохода на пенсии. Он доступен каждому россиянину и позволяет формировать накопления при финансовой поддержке государства.</w:t>
      </w:r>
    </w:p>
    <w:p w14:paraId="6D48F6D0" w14:textId="77777777" w:rsidR="00302175" w:rsidRPr="001267A7" w:rsidRDefault="00302175" w:rsidP="00302175">
      <w:r w:rsidRPr="001267A7">
        <w:t>Откладывая регулярно даже небольшие суммы, можно за 15 лет участия в Программе создать себе приличную прибавку к пенсии.</w:t>
      </w:r>
    </w:p>
    <w:p w14:paraId="2331826D" w14:textId="77777777" w:rsidR="00302175" w:rsidRPr="001267A7" w:rsidRDefault="00302175" w:rsidP="00302175">
      <w:r w:rsidRPr="001267A7">
        <w:t>Механизм участия в ПДС прост: вы делаете регулярные взносы, а государство их приумножает. Размер софинансирования зависит от доходов участника и величины уплачиваемых взносов. Наша героиня, внося по 4 тысячи рублей в месяц в ПДС, к 55 годам сможет, по сути, рассчитывать на вторую пенсию: НПФ будет выплачивать ей более 22 тысяч ежемесячно в течение 10 лет.</w:t>
      </w:r>
    </w:p>
    <w:p w14:paraId="3D6542A0" w14:textId="77777777" w:rsidR="00302175" w:rsidRPr="001267A7" w:rsidRDefault="00302175" w:rsidP="00302175">
      <w:r w:rsidRPr="001267A7">
        <w:t>Если же россиянка оформит себе пожизненные выплаты по ПДС, она будет получать более 8 тысяч рублей ежемесячно. Кроме того, она сможет выбрать и единовременную выплату, разом сняв со счета всю накопленную сумму в размере более 2,7 млн рублей. При этом личные взносы участницы ПДС составят менее трети от этой суммы - 720 тысяч рублей. Остальная часть - это полученный инвестдоход в размере более полутора миллионов рублей, средства господдержки в размере 360 тысяч рублей и налоговый вычет на общую сумму 93 тысячи рублей.</w:t>
      </w:r>
    </w:p>
    <w:p w14:paraId="70B9C259" w14:textId="77777777" w:rsidR="00302175" w:rsidRPr="001267A7" w:rsidRDefault="00302175" w:rsidP="00302175">
      <w:r w:rsidRPr="001267A7">
        <w:t>В перспективе участие в ПДС принесет много выгод: в ближайшем будущем к Программе будет выгодно подключиться и работодателям. При финансировании взносов работников бизнес получит налоговые льготы. В условиях нехватки кадров такая мера станет важным преимуществом для крупных компаний. Используя ее, работодатели смогут повышать свою привлекательность для сотрудников.</w:t>
      </w:r>
    </w:p>
    <w:p w14:paraId="2161C273" w14:textId="77777777" w:rsidR="00302175" w:rsidRPr="001267A7" w:rsidRDefault="00302175" w:rsidP="00302175">
      <w:r w:rsidRPr="001267A7">
        <w:t xml:space="preserve">Второй способ - вступить в одну из корпоративных пенсионных программ (КПП), если у работодателя такая программа уже действует. Этот вид дополнительного пенсионного обеспечения является частью соцпакета в крупных компаниях. Подобные программы реализуют предприятия из сферы строительства, обрабатывающей </w:t>
      </w:r>
      <w:r w:rsidRPr="001267A7">
        <w:lastRenderedPageBreak/>
        <w:t>промышленности, логистики, транспорта, энергетики, информационных технологий и многих других областях.</w:t>
      </w:r>
    </w:p>
    <w:p w14:paraId="3E6D81D4" w14:textId="77777777" w:rsidR="00302175" w:rsidRPr="001267A7" w:rsidRDefault="00302175" w:rsidP="00302175">
      <w:r w:rsidRPr="001267A7">
        <w:t>Механизм их функционирования прост: предприятие открывает специальный индивидуальный пенсионный счет каждого сотрудника в выбранном негосударственном пенсионном фонде (НПФ) и осуществляет регулярное пополнение счета взносами. Накопленные средства инвестируются фондом и используются для выплат работнику при наступлении пенсионных оснований. По закону начать получать такие выплаты женщины могут в 55 лет, мужчины - в 60 лет.</w:t>
      </w:r>
    </w:p>
    <w:p w14:paraId="0A1A89DF" w14:textId="77777777" w:rsidR="00302175" w:rsidRPr="001267A7" w:rsidRDefault="00302175" w:rsidP="00302175">
      <w:r w:rsidRPr="001267A7">
        <w:t>Корпоративные пенсионные программы бывают трех видов: софинансируемые (взносы делают и сотрудник, и работодатель), гарантированные (полностью оплачиваются работодателем) и индивидуальные (разработаны специально для отдельных должностей). Максимально выгодные условия часто получают самые верные сотрудники - те, кто трудятся в организации более пяти лет.</w:t>
      </w:r>
    </w:p>
    <w:p w14:paraId="3727DA0C" w14:textId="77777777" w:rsidR="00302175" w:rsidRPr="001267A7" w:rsidRDefault="00302175" w:rsidP="00302175">
      <w:r w:rsidRPr="001267A7">
        <w:t>Женщина станет ежемесячно отчислять те же 4 тысячи рублей в НПФ, с которым у работодателя заключен договор. Согласно выбранной пенсионной схеме, работодатель софинансирует личные взносы работника в размере 5% от заработной платы - то есть добавляет от себя ещё 4 тысячи рублей. В 55 лет такая сотрудница сможет начать получать пенсионную выплату из накопленных средств на личном счете. В этом случае размер пожизненной выплаты составит около 15 тысяч рублей негосударственной пенсии ежемесячно при условии доходности вложений 8% годовых. Заметьте, выплаты будут наполовину сформированы из личных взносов женщины, а наполовину - из отчислений работодателя. В зависимости от условий пенсионной схемы, также можно будет установить отличный от пожизненного срока период выплаты, например, 10 лет, и сумма ежемесячной выплаты при этом составит около 27 тысяч рублей в месяц.</w:t>
      </w:r>
    </w:p>
    <w:p w14:paraId="0EE4D461" w14:textId="77777777" w:rsidR="00302175" w:rsidRPr="001267A7" w:rsidRDefault="00302175" w:rsidP="00302175">
      <w:r w:rsidRPr="001267A7">
        <w:t>Наконец, третий способ. Можно оформить себе индивидуальный пенсионный план (ИПП) в негосударственном пенсионном фонде (НПФ). Если компания, в которой вы работаете, не предлагает корпоративную пенсионную программу, вы можете обратиться в фонд самостоятельно и заключить с ним договор на индивидуальное обслуживание. Например, та же женщина 40 лет, если будет делать отчисления в НПФ в размере 4 тысяч рублей ежемесячно, к 55 годам сможет организовать себе дополнительные выплаты к пенсии в размере более 13,5 тысячи рублей. Их она сможет получать ежемесячно в течение 10 лет или, при желании, может выбрать пожизненную выплату в размере 7,5 тысячи рублей. Общая сумма накопленных средств на счете за 15 лет составит 1,4 млн рублей, в том числе личных взносов - 720 тысяч рублей.</w:t>
      </w:r>
    </w:p>
    <w:p w14:paraId="7BB454CB" w14:textId="77777777" w:rsidR="00302175" w:rsidRPr="001267A7" w:rsidRDefault="00302175" w:rsidP="00302175">
      <w:r w:rsidRPr="001267A7">
        <w:t>Возможность увеличить пенсию с помощью участия в программах, реализуемых негосударственными пенсионными фондами, открыта абсолютно для всех россиян, независимо от размера доходов.</w:t>
      </w:r>
    </w:p>
    <w:p w14:paraId="5025DB7E" w14:textId="77777777" w:rsidR="00302175" w:rsidRPr="001267A7" w:rsidRDefault="00302175" w:rsidP="00302175">
      <w:hyperlink r:id="rId12" w:history="1">
        <w:r w:rsidRPr="001267A7">
          <w:rPr>
            <w:rStyle w:val="a3"/>
          </w:rPr>
          <w:t>https://rg.ru/2025/05/18/ekspert-beliakov-obiasnil-kak-znachitelno-uvelichit-dohod-na-pensii.html</w:t>
        </w:r>
      </w:hyperlink>
    </w:p>
    <w:p w14:paraId="57625267" w14:textId="77777777" w:rsidR="0033575A" w:rsidRPr="001267A7" w:rsidRDefault="0033575A" w:rsidP="0033575A">
      <w:pPr>
        <w:pStyle w:val="2"/>
      </w:pPr>
      <w:bookmarkStart w:id="48" w:name="a4"/>
      <w:bookmarkStart w:id="49" w:name="_Hlk198618131"/>
      <w:bookmarkStart w:id="50" w:name="_Toc198618856"/>
      <w:bookmarkEnd w:id="45"/>
      <w:bookmarkEnd w:id="48"/>
      <w:r w:rsidRPr="001267A7">
        <w:lastRenderedPageBreak/>
        <w:t>Банковское дело, 19.05.2025, Россияне получат 21,4 млрд рублей софинансирования от государства по программе долгосрочных сбережений</w:t>
      </w:r>
      <w:bookmarkEnd w:id="50"/>
    </w:p>
    <w:p w14:paraId="72002D41" w14:textId="77777777" w:rsidR="0033575A" w:rsidRPr="001267A7" w:rsidRDefault="0033575A" w:rsidP="00593D6A">
      <w:pPr>
        <w:pStyle w:val="3"/>
      </w:pPr>
      <w:bookmarkStart w:id="51" w:name="_Toc198618857"/>
      <w:r w:rsidRPr="001267A7">
        <w:t>В 2025 году государство впервые начислит софинансирование на взносы, сделанные россиянами в рамках программы долгосрочных сбережений (ПДС) в прошлом году. Планируемая сумма поступлений - 21,4 млрд рублей, следует из обзора Банка России ключевых показателей негосударственных пенсионных фондов (НПФ) за IV квартал 2024, проанализированного СберНПФ.</w:t>
      </w:r>
      <w:bookmarkEnd w:id="51"/>
    </w:p>
    <w:p w14:paraId="0BD50FC7" w14:textId="77777777" w:rsidR="0033575A" w:rsidRPr="001267A7" w:rsidRDefault="0033575A" w:rsidP="0033575A">
      <w:r w:rsidRPr="001267A7">
        <w:t>Всего же по итогам 2024 года объём всех пенсионных средств, включая средства обязательного пенсионного страхования (ОПС), превысил 8 трлн рублей, а рост совокупного портфеля пенсионных средств увеличился до 7,5% за год, отмечается в материале ЦБ. Основными драйверами роста стали запуск ПДС и положительная доходность от инвестирования.</w:t>
      </w:r>
    </w:p>
    <w:p w14:paraId="07CAEDD5" w14:textId="77777777" w:rsidR="0033575A" w:rsidRPr="001267A7" w:rsidRDefault="0033575A" w:rsidP="0033575A">
      <w:r w:rsidRPr="001267A7">
        <w:t>Только за первый год действия программы к ней подключились 2,8 млн человек - это половина от числа участников негосударственного пенсионного обеспечения, которое действует больше 20 лет, подчеркивает регулятор. При этом объем взносов в ПДС превысил 205 млрд, включая суммы переводов средств накопительной пенсии.</w:t>
      </w:r>
    </w:p>
    <w:p w14:paraId="0F12C220" w14:textId="77777777" w:rsidR="0033575A" w:rsidRPr="001267A7" w:rsidRDefault="0033575A" w:rsidP="0033575A">
      <w:r w:rsidRPr="001267A7">
        <w:t>Ольга Изюмова, заместитель генерального директора СберНПФ:</w:t>
      </w:r>
    </w:p>
    <w:p w14:paraId="5DADEC83" w14:textId="77777777" w:rsidR="0033575A" w:rsidRPr="001267A7" w:rsidRDefault="0033575A" w:rsidP="0033575A">
      <w:r w:rsidRPr="001267A7">
        <w:t>«Рост интереса к программе долгосрочных сбережений говорит сам за себя - всё больше людей ищут надёжные и прозрачные механизмы для формирования капитала на будущее. На апрель 2025 года в ПДС вступило более 4 млн человек, оценочный объем привлеченных в программу средств составил почти 300 млрд рублей. Из них более 3 млн заключили договоры в СберНПФ, объем привлеченных средств - более 200 млрд рублей.</w:t>
      </w:r>
    </w:p>
    <w:p w14:paraId="745741D7" w14:textId="77777777" w:rsidR="0033575A" w:rsidRPr="001267A7" w:rsidRDefault="0033575A" w:rsidP="0033575A">
      <w:r w:rsidRPr="001267A7">
        <w:t>Главный стимул для граждан, решивших копить с ПДС, - конечно, государственная поддержка. За десять лет участия в программе человек может получить до 360 тыс. рублей софинансирования. А вместе с налоговыми вычетами, которые также предусмотрены по программе, софинансирование дает заметную прибавку к накоплениям».</w:t>
      </w:r>
    </w:p>
    <w:p w14:paraId="5285D6A8" w14:textId="77777777" w:rsidR="0033575A" w:rsidRPr="001267A7" w:rsidRDefault="0033575A" w:rsidP="0033575A">
      <w:r w:rsidRPr="001267A7">
        <w:t>Чтобы получить прибавку от государства, нужно вносить не менее 2 тыс. в год в программу. Сумма софинансирования зависит от объема взносов и среднемесячного дохода. Так, при среднемесячном доходе ниже 80 тыс., соотношение софинансирования к личным взносам - 1 к 1. При среднемесячном доходе от 80 тыс. рублей 01 копейки до 150 тыс. рублей софинансирование составит 0,5 к 1. А при среднемесячном доходе свыше 150 тыс. рублей 01 копейки - 0,25 к 1. Например, при доходе 90 тыс. рублей соотношение составит 0,5 к 1. И чтобы получить максимально возможную доплату в размере 36 тыс. рублей в год, нужно вложить вдвое больше - то есть 72 тыс. рублей в год или по 6 тыс. рублей ежемесячно в течение года.</w:t>
      </w:r>
    </w:p>
    <w:p w14:paraId="7388C71E" w14:textId="77777777" w:rsidR="0033575A" w:rsidRPr="001267A7" w:rsidRDefault="0033575A" w:rsidP="0033575A">
      <w:hyperlink r:id="rId13" w:history="1">
        <w:r w:rsidRPr="001267A7">
          <w:rPr>
            <w:rStyle w:val="a3"/>
          </w:rPr>
          <w:t>https://www.bankdelo.ru/fingram/news/pub/12470</w:t>
        </w:r>
      </w:hyperlink>
      <w:r w:rsidRPr="001267A7">
        <w:t xml:space="preserve"> </w:t>
      </w:r>
    </w:p>
    <w:p w14:paraId="614BACCD" w14:textId="77777777" w:rsidR="001F42F5" w:rsidRPr="001267A7" w:rsidRDefault="001F42F5" w:rsidP="001F42F5">
      <w:pPr>
        <w:pStyle w:val="2"/>
      </w:pPr>
      <w:bookmarkStart w:id="52" w:name="a5"/>
      <w:bookmarkStart w:id="53" w:name="_Toc198618858"/>
      <w:bookmarkEnd w:id="49"/>
      <w:bookmarkEnd w:id="52"/>
      <w:r w:rsidRPr="001267A7">
        <w:lastRenderedPageBreak/>
        <w:t>Агентство страховых новостей, 19.05.2025, Правительство внесло в Госдуму проект поправок в НК РФ о льготах по программам долгосрочных сбережений</w:t>
      </w:r>
      <w:bookmarkEnd w:id="53"/>
    </w:p>
    <w:p w14:paraId="2F312BAF" w14:textId="77777777" w:rsidR="001F42F5" w:rsidRPr="001267A7" w:rsidRDefault="001F42F5" w:rsidP="00593D6A">
      <w:pPr>
        <w:pStyle w:val="3"/>
      </w:pPr>
      <w:bookmarkStart w:id="54" w:name="_Toc198618859"/>
      <w:r w:rsidRPr="001267A7">
        <w:t>Правительство внесло в Госдуму законопроект (N919131-80) с поправками в Налоговый кодекс (НК) РФ, касающимися порядка налогообложения договоров долгосрочных сбережений. Документ опубликован в электронной базе данных парламента в пятницу.</w:t>
      </w:r>
      <w:bookmarkEnd w:id="54"/>
    </w:p>
    <w:p w14:paraId="0C65B20B" w14:textId="77777777" w:rsidR="001F42F5" w:rsidRPr="001267A7" w:rsidRDefault="001F42F5" w:rsidP="001F42F5">
      <w:r w:rsidRPr="001267A7">
        <w:t>Поправками вносятся изменения в статьи 102 и 126 первой части и во вторую часть НК, которые направлены на «совершенствование налогового стимулирования инструментов для формирования долгосрочных сбережений».</w:t>
      </w:r>
    </w:p>
    <w:p w14:paraId="346BFED4" w14:textId="77777777" w:rsidR="001F42F5" w:rsidRPr="001267A7" w:rsidRDefault="001F42F5" w:rsidP="001F42F5">
      <w:r w:rsidRPr="001267A7">
        <w:t>Изменения коснутся двух сегментов финансового рынка и таких продуктов, как Программа долгосрочных сбережений (ПДС) и договоры долгосрочного страхования жизни. Поправки были одобрены правительством в ходе заседания в четверг.</w:t>
      </w:r>
    </w:p>
    <w:p w14:paraId="2E1BD2A6" w14:textId="77777777" w:rsidR="001F42F5" w:rsidRPr="001267A7" w:rsidRDefault="001F42F5" w:rsidP="001F42F5">
      <w:r w:rsidRPr="001267A7">
        <w:t>В частности, согласно законопроекту, взносы работодателей по ПДС предлагается учитывать в составе расходов при налогообложении прибыли, а также не облагать их страховыми взносами. Взносы будут учитываться в размере, не превышающем 12% от суммы расходов на оплату труда, а страховыми взносами не будут облагаться суммы в пределах 12% от базы для исчисления страховых взносов по конкретному работнику за расчетный период.</w:t>
      </w:r>
    </w:p>
    <w:p w14:paraId="7C6CF6A7" w14:textId="77777777" w:rsidR="001F42F5" w:rsidRPr="001267A7" w:rsidRDefault="001F42F5" w:rsidP="001F42F5">
      <w:r w:rsidRPr="001267A7">
        <w:t>Законопроектом также уточняется минимальный срок для получения налогового вычета в рамках ПДС.</w:t>
      </w:r>
    </w:p>
    <w:p w14:paraId="7B3F6863" w14:textId="77777777" w:rsidR="001F42F5" w:rsidRPr="001267A7" w:rsidRDefault="001F42F5" w:rsidP="001F42F5">
      <w:r w:rsidRPr="001267A7">
        <w:t>При переводе средств со счета долгосрочных сбережений в рамках нового договора предлагается засчитывать срок действия старого договора.</w:t>
      </w:r>
    </w:p>
    <w:p w14:paraId="4A94AAC1" w14:textId="77777777" w:rsidR="001F42F5" w:rsidRPr="001267A7" w:rsidRDefault="001F42F5" w:rsidP="001F42F5">
      <w:r w:rsidRPr="001267A7">
        <w:t>В отношении налоговой базы по доходам, полученным в виде выплат по договору долгосрочных сбережений, предложено установить ставку НДФЛ в размере 13% или 15% (в зависимости от суммы налоговых баз).</w:t>
      </w:r>
    </w:p>
    <w:p w14:paraId="446793A4" w14:textId="77777777" w:rsidR="001F42F5" w:rsidRPr="001267A7" w:rsidRDefault="001F42F5" w:rsidP="001F42F5">
      <w:r w:rsidRPr="001267A7">
        <w:t>«Таким образом, она сравняется со ставками, действующими в настоящее время в отношении страховых выплат по договорам страхования, выплат по пенсионному обеспечению, а также в отношении доходов по операциям с ценными бумагами и по операциям с производными финансовыми инструментами, учитываемым на индивидуальном инвестиционном счете (ИИС)», - приводил накануне пояснения Минфин РФ.</w:t>
      </w:r>
    </w:p>
    <w:p w14:paraId="5497D923" w14:textId="77777777" w:rsidR="001F42F5" w:rsidRPr="001267A7" w:rsidRDefault="001F42F5" w:rsidP="001F42F5">
      <w:r w:rsidRPr="001267A7">
        <w:t>Кроме того, поправками предлагается выровнять условия налогообложения НДФЛ по «долгосрочным продуктам» и распространить их на договоры страхования жизни. Поправки включают изменения, связанные с налоговым вычетом в отношении страховых взносов по договорам страхования жизни.</w:t>
      </w:r>
    </w:p>
    <w:p w14:paraId="6071F665" w14:textId="77777777" w:rsidR="001F42F5" w:rsidRPr="001267A7" w:rsidRDefault="001F42F5" w:rsidP="001F42F5">
      <w:r w:rsidRPr="001267A7">
        <w:t>Таким образом, налоговый вычет будет осуществляться не с суммы 150 тыс. р., как это предусмотрено действующим порядком, а с суммы 400 тыс. р.</w:t>
      </w:r>
    </w:p>
    <w:p w14:paraId="0F066300" w14:textId="77777777" w:rsidR="001F42F5" w:rsidRPr="001267A7" w:rsidRDefault="001F42F5" w:rsidP="001F42F5">
      <w:r w:rsidRPr="001267A7">
        <w:t>Возможность получения налогового вычета на долгосрочные сбережения граждан и на страховые взносы по договорам страхования жизни предусмотрена в том числе для договоров долевого страхования жизни (ДСЖ), которые стали доступны для граждан с 1 января 2025 г.</w:t>
      </w:r>
    </w:p>
    <w:p w14:paraId="0310B678" w14:textId="77777777" w:rsidR="001F42F5" w:rsidRPr="001267A7" w:rsidRDefault="001F42F5" w:rsidP="001F42F5">
      <w:r w:rsidRPr="001267A7">
        <w:lastRenderedPageBreak/>
        <w:t>При этом в составе поправок есть те, которые затрагивают порядок налогообложения по ранее заключенным договорам страхования жизни. Они касаются сохранения возможности применять «старый порядок» при определении налоговой базы по НДФЛ на страховые выплаты по договорам страхования жизни для договоров, заключенных ранее 2025 г.</w:t>
      </w:r>
    </w:p>
    <w:p w14:paraId="3334C74D" w14:textId="77777777" w:rsidR="001F42F5" w:rsidRPr="001267A7" w:rsidRDefault="001F42F5" w:rsidP="001F42F5">
      <w:r w:rsidRPr="001267A7">
        <w:t>«До 31 декабря 2024 г. страховые выплаты по договорам страхования жизни, связанные с дожитием застрахованного лица до определенного возраста или срока, либо в случае наступления иного события, учитывались при определении налоговой базы по НДФЛ только в части превышения, которое определялось по специальному порядку с учетом среднегодовой ставки рефинансирования Банка России («старый порядок»). С 2025 г. такая налоговая преференция отменена», - отмечалось ранее в пояснениях Минфина РФ.</w:t>
      </w:r>
    </w:p>
    <w:p w14:paraId="0ACEA72D" w14:textId="77777777" w:rsidR="001F42F5" w:rsidRPr="001267A7" w:rsidRDefault="001F42F5" w:rsidP="001F42F5">
      <w:r w:rsidRPr="001267A7">
        <w:t>Правительственными поправками также предлагается сохранить возможность применения «старого порядка» для заключенных до 31 декабря 2024 г. включительно договоров страхования жизни сроком от 3 лет в отношении части страховых выплат, сформированных за счет инвестиционного дохода за каждый год действия договора до 2025 г.</w:t>
      </w:r>
    </w:p>
    <w:p w14:paraId="34F0176E" w14:textId="77777777" w:rsidR="001F42F5" w:rsidRPr="001267A7" w:rsidRDefault="001F42F5" w:rsidP="001F42F5">
      <w:r w:rsidRPr="001267A7">
        <w:t>Кроме того, для договоров, срок действия которых превышает 5 лет, законопроектом предлагается предоставить возможность применить по выбору «старый порядок» или освобождение от НДФЛ страховой выплаты, превышающей суммы внесенных страховых взносов, в размере до 30 млн р.</w:t>
      </w:r>
    </w:p>
    <w:p w14:paraId="79BFA5A2" w14:textId="77777777" w:rsidR="001F42F5" w:rsidRPr="001267A7" w:rsidRDefault="001F42F5" w:rsidP="001F42F5">
      <w:r w:rsidRPr="001267A7">
        <w:t>При этом изменения не будут распространяться на договоры страхования жизни, по которым страховая премия была увеличена после 30 июня 2024 г. Также изменения не будут распространяться на договоры страхования жизни, которыми было предусмотрено условие о возможности их продления.</w:t>
      </w:r>
    </w:p>
    <w:p w14:paraId="48422D6A" w14:textId="77777777" w:rsidR="001F42F5" w:rsidRPr="001267A7" w:rsidRDefault="001F42F5" w:rsidP="001F42F5">
      <w:r w:rsidRPr="001267A7">
        <w:t>ПДС была запущена в 2024 г. Она предусматривает государственное софинансирование взносов на протяжении 10 лет в размере до 36 тыс. р. в год, а также право на налоговый вычет (с суммы до 400 тыс. р.). Средства граждан, внесенные в рамках программы, застрахованы на сумму 2,8 млн р.</w:t>
      </w:r>
    </w:p>
    <w:p w14:paraId="2DD51533" w14:textId="77777777" w:rsidR="001F42F5" w:rsidRPr="001267A7" w:rsidRDefault="001F42F5" w:rsidP="001F42F5">
      <w:r w:rsidRPr="001267A7">
        <w:t>Согласно данным Банка России, объем вложений по программе с учетом перевода пенсионных накоплений и софинансирования в 2024 г. составил около 216 млрд р.</w:t>
      </w:r>
    </w:p>
    <w:p w14:paraId="629B0943" w14:textId="77777777" w:rsidR="001F42F5" w:rsidRPr="001267A7" w:rsidRDefault="001F42F5" w:rsidP="001F42F5">
      <w:r w:rsidRPr="001267A7">
        <w:t>Закон о долевом страховании жизни (ДСЖ) вступил в силу в РФ с 1 января 2025 г., с этой же даты поправками в НК РФ были отменены прежние льготы для страхователей по договорам страхования жизни. Принятие законодательных изменений в части налогообложения позволит страховщикам жизни ускорить запуск продаж массовых продаж полисов ДСЖ с инвестиционной составляющей во II квартале этого года.</w:t>
      </w:r>
    </w:p>
    <w:p w14:paraId="70BF30F8" w14:textId="77777777" w:rsidR="001F42F5" w:rsidRPr="001267A7" w:rsidRDefault="001F42F5" w:rsidP="001F42F5">
      <w:hyperlink r:id="rId14" w:history="1">
        <w:r w:rsidRPr="001267A7">
          <w:rPr>
            <w:rStyle w:val="a3"/>
          </w:rPr>
          <w:t>http://www.asn-news.ru/news/89556</w:t>
        </w:r>
      </w:hyperlink>
      <w:r w:rsidRPr="001267A7">
        <w:t xml:space="preserve"> </w:t>
      </w:r>
    </w:p>
    <w:p w14:paraId="71C68DEE" w14:textId="77777777" w:rsidR="000947D2" w:rsidRPr="001267A7" w:rsidRDefault="000947D2" w:rsidP="000947D2">
      <w:pPr>
        <w:pStyle w:val="2"/>
      </w:pPr>
      <w:bookmarkStart w:id="55" w:name="_Hlk198618158"/>
      <w:bookmarkStart w:id="56" w:name="_Toc198618860"/>
      <w:r w:rsidRPr="001267A7">
        <w:lastRenderedPageBreak/>
        <w:t>Главбух.ру, 19.05.2025, Налоговые льготы для работодателей: поддержка долгосрочных сбережений</w:t>
      </w:r>
      <w:bookmarkEnd w:id="56"/>
    </w:p>
    <w:p w14:paraId="693FDCC5" w14:textId="77777777" w:rsidR="000947D2" w:rsidRPr="001267A7" w:rsidRDefault="000947D2" w:rsidP="00593D6A">
      <w:pPr>
        <w:pStyle w:val="3"/>
      </w:pPr>
      <w:bookmarkStart w:id="57" w:name="_Toc198618861"/>
      <w:r w:rsidRPr="001267A7">
        <w:t>Минфин разработал налоговые поправки, нацеленные на улучшение системы долгосрочных накоплений. Подробная информация опубликована на сайте ведомства.</w:t>
      </w:r>
      <w:bookmarkEnd w:id="57"/>
    </w:p>
    <w:p w14:paraId="52054E67" w14:textId="77777777" w:rsidR="000947D2" w:rsidRPr="001267A7" w:rsidRDefault="000947D2" w:rsidP="000947D2">
      <w:r w:rsidRPr="001267A7">
        <w:t xml:space="preserve">Правительство РФ утвердило налоговые послабления для компаний, инвестирующих в долгосрочные накопления своих сотрудников. Законопроект содержит следующие ключевые изменения.  </w:t>
      </w:r>
    </w:p>
    <w:p w14:paraId="309DA148" w14:textId="77777777" w:rsidR="000947D2" w:rsidRPr="001267A7" w:rsidRDefault="000947D2" w:rsidP="000947D2">
      <w:r w:rsidRPr="001267A7">
        <w:t>1.</w:t>
      </w:r>
      <w:r w:rsidRPr="001267A7">
        <w:tab/>
        <w:t xml:space="preserve">Предлагается учитывать взносы работодателей в программах долгосрочных сбережений (ПДС) при расчете налога на прибыль, а также освободить их от обложения страховыми взносами. Учет взносов в расходах будет ограничен 12% от фонда оплаты труда, а освобождение от страховых взносов - 12% от базы для их начисления по каждому сотруднику. </w:t>
      </w:r>
    </w:p>
    <w:p w14:paraId="2A411529" w14:textId="77777777" w:rsidR="000947D2" w:rsidRPr="001267A7" w:rsidRDefault="000947D2" w:rsidP="000947D2">
      <w:r w:rsidRPr="001267A7">
        <w:t>2.</w:t>
      </w:r>
      <w:r w:rsidRPr="001267A7">
        <w:tab/>
        <w:t xml:space="preserve">При оценке соблюдения условия о минимальном сроке для получения налогового вычета будет учитываться факт обращения за выплатой по договору долгосрочных сбережений, а не дата возникновения оснований для таких выплат. При переносе средств со счета долгосрочных сбережений в новый договор срок действия старого договора будет засчитываться. </w:t>
      </w:r>
    </w:p>
    <w:p w14:paraId="1DD57CBF" w14:textId="77777777" w:rsidR="000947D2" w:rsidRPr="001267A7" w:rsidRDefault="000947D2" w:rsidP="000947D2">
      <w:r w:rsidRPr="001267A7">
        <w:t>3.</w:t>
      </w:r>
      <w:r w:rsidRPr="001267A7">
        <w:tab/>
        <w:t xml:space="preserve">Уравниваются условия налогообложения НДФЛ для "долгосрочных продуктов". Для доходов, полученных в виде выплат по договору долгосрочных сбережений, устанавливается ставка НДФЛ в размере 13% (15%) в зависимости от общего размера налоговых баз. </w:t>
      </w:r>
    </w:p>
    <w:p w14:paraId="221F5D5E" w14:textId="77777777" w:rsidR="000947D2" w:rsidRPr="001267A7" w:rsidRDefault="000947D2" w:rsidP="000947D2">
      <w:r w:rsidRPr="001267A7">
        <w:t>4.</w:t>
      </w:r>
      <w:r w:rsidRPr="001267A7">
        <w:tab/>
        <w:t xml:space="preserve">Налоговый вычет распространяется на страховые взносы по договорам страхования жизни. Поправки также расширяют возможности получения налогового вычета на долгосрочные сбережения, включая страховые взносы по договорам страхования жизни, в том числе по договорам долевого страхования жизни (ДСЖ), доступным с 1 января 2025 года. </w:t>
      </w:r>
    </w:p>
    <w:p w14:paraId="284D988C" w14:textId="77777777" w:rsidR="000947D2" w:rsidRPr="001267A7" w:rsidRDefault="000947D2" w:rsidP="000947D2">
      <w:r w:rsidRPr="001267A7">
        <w:t>5.</w:t>
      </w:r>
      <w:r w:rsidRPr="001267A7">
        <w:tab/>
        <w:t xml:space="preserve">Сохраняется возможность применения прежних правил при определении налоговой базы по НДФЛ для страховых выплат по договорам страхования жизни. Для договоров страхования жизни, заключенных до 31 декабря 2024 года включительно, сроком от 3 лет, сохраняется возможность применения старого порядка расчета НДФЛ в отношении части страховых выплат, сформированных за счет инвестиционного дохода за каждый год действия договора до 2025 года. </w:t>
      </w:r>
    </w:p>
    <w:p w14:paraId="43E1EB95" w14:textId="77777777" w:rsidR="000947D2" w:rsidRPr="001267A7" w:rsidRDefault="000947D2" w:rsidP="000947D2">
      <w:r w:rsidRPr="001267A7">
        <w:t>Для договоров сроком более 5 лет предлагается возможность выбора: применение старого порядка или освобождение от НДФЛ страховой выплаты, превышающей сумму внесенных страховых взносов, в размере до 30 млн рублей. Изменения не затронут договоры, по которым страховая премия была увеличена после 30 июня 2024 года, а также договоры с условием о возможности продления.</w:t>
      </w:r>
    </w:p>
    <w:p w14:paraId="4D1779DC" w14:textId="77777777" w:rsidR="000947D2" w:rsidRPr="001267A7" w:rsidRDefault="000947D2" w:rsidP="000947D2">
      <w:hyperlink r:id="rId15" w:history="1">
        <w:r w:rsidRPr="001267A7">
          <w:rPr>
            <w:rStyle w:val="a3"/>
          </w:rPr>
          <w:t>https://www.glavbukh.ru/news/52104-nalogovye-lgoty-dlya-rabotodateley-podderjka-dolgosrochnyh-sberejeniy-6xx</w:t>
        </w:r>
      </w:hyperlink>
      <w:r w:rsidRPr="001267A7">
        <w:t xml:space="preserve"> </w:t>
      </w:r>
    </w:p>
    <w:p w14:paraId="18AAD8BF" w14:textId="77777777" w:rsidR="0071274D" w:rsidRPr="001267A7" w:rsidRDefault="0071274D" w:rsidP="0071274D">
      <w:pPr>
        <w:pStyle w:val="2"/>
      </w:pPr>
      <w:bookmarkStart w:id="58" w:name="_Toc198618862"/>
      <w:bookmarkEnd w:id="55"/>
      <w:r w:rsidRPr="001267A7">
        <w:lastRenderedPageBreak/>
        <w:t>Финансы Mail, 19.05.2025, Правительство не планирует направлять маткапитал на программу долгосрочных сбережений</w:t>
      </w:r>
      <w:bookmarkEnd w:id="58"/>
    </w:p>
    <w:p w14:paraId="6D49D979" w14:textId="77777777" w:rsidR="0071274D" w:rsidRPr="001267A7" w:rsidRDefault="0071274D" w:rsidP="00593D6A">
      <w:pPr>
        <w:pStyle w:val="3"/>
      </w:pPr>
      <w:bookmarkStart w:id="59" w:name="_Toc198618863"/>
      <w:r w:rsidRPr="001267A7">
        <w:t>Кабмин не намерен направлять средства материнского капитала на программу долгосрочных сбережений. Об этом ТАСС сообщила вице-премьер РФ Татьяна Голикова.</w:t>
      </w:r>
      <w:bookmarkEnd w:id="59"/>
    </w:p>
    <w:p w14:paraId="4528D8BD" w14:textId="77777777" w:rsidR="0071274D" w:rsidRPr="001267A7" w:rsidRDefault="0071274D" w:rsidP="0071274D">
      <w:r w:rsidRPr="001267A7">
        <w:t>Ранее «Известия» сообщали что в России обсуждают новый вариант использования маткапитала. Предлагается разрешить тратить эти деньги на продукты так называемых семейных инвестиций. А именно — на накопительное страхование жизни и программу долгосрочных сбережений. Информацию «Известиям» подтвердил глава комитета Госдумы по финрынку Анатолий Аксаков, он положительно оценил инициативу.</w:t>
      </w:r>
    </w:p>
    <w:p w14:paraId="4B0FA626" w14:textId="77777777" w:rsidR="0071274D" w:rsidRPr="001267A7" w:rsidRDefault="0071274D" w:rsidP="0071274D">
      <w:r w:rsidRPr="001267A7">
        <w:t>«Правительство в рамках социального блока пока такое направление средств маткапитала на ПДС не рассматривает. Действительно сейчас реализуется закон, который связан с направлением пенсионных денег в ПДС, работа по этому направлению ведется нами вместе с Минфином. Но материнский капитал мы в этом ключе пока не рассматриваем», — отметила Голикова.</w:t>
      </w:r>
    </w:p>
    <w:p w14:paraId="3265D154" w14:textId="77777777" w:rsidR="0071274D" w:rsidRPr="001267A7" w:rsidRDefault="0071274D" w:rsidP="0071274D">
      <w:r w:rsidRPr="001267A7">
        <w:t>Материнский капитал был запущен в 2007 году в рамках национального проекта «Демография». Изначально данная мера государственной поддержки распространялась на российские семьи, в которых родился или был усыновлен второй ребенок, а также любой последующий ребенок, если до этого право на капитал не возникало или не оформлялось. С 1 января 2020 года материнский капитал выдается при рождении первого ребенка.</w:t>
      </w:r>
    </w:p>
    <w:p w14:paraId="071C4EF9" w14:textId="77777777" w:rsidR="0071274D" w:rsidRPr="001267A7" w:rsidRDefault="0071274D" w:rsidP="0071274D">
      <w:hyperlink r:id="rId16" w:history="1">
        <w:r w:rsidRPr="001267A7">
          <w:rPr>
            <w:rStyle w:val="a3"/>
          </w:rPr>
          <w:t>https://finance.mail.ru/2025-05-19/pravitelstvo-ne-planiruet-napravlyat-matkapital-na-programmu-dolgosrochnyh-sberezhenij-66187122/</w:t>
        </w:r>
      </w:hyperlink>
      <w:r w:rsidRPr="001267A7">
        <w:t xml:space="preserve"> </w:t>
      </w:r>
    </w:p>
    <w:p w14:paraId="640E568F" w14:textId="77777777" w:rsidR="00DA3A7C" w:rsidRPr="001267A7" w:rsidRDefault="00DA3A7C" w:rsidP="00DA3A7C">
      <w:pPr>
        <w:pStyle w:val="2"/>
      </w:pPr>
      <w:bookmarkStart w:id="60" w:name="_Hlk198618192"/>
      <w:bookmarkStart w:id="61" w:name="_Toc198618864"/>
      <w:r w:rsidRPr="001267A7">
        <w:t>Брянская улица, 19.05.2025, Среди брянцев набирает популярность программа долгосрочных сбережений</w:t>
      </w:r>
      <w:bookmarkEnd w:id="61"/>
    </w:p>
    <w:p w14:paraId="151B9D52" w14:textId="77777777" w:rsidR="00DA3A7C" w:rsidRPr="001267A7" w:rsidRDefault="00DA3A7C" w:rsidP="00593D6A">
      <w:pPr>
        <w:pStyle w:val="3"/>
      </w:pPr>
      <w:bookmarkStart w:id="62" w:name="_Toc198618865"/>
      <w:r w:rsidRPr="001267A7">
        <w:t>За первые три месяца 2025 года к программе присоединились еще 11,5 тысяч брянцев, вложив 187 миллионов рублей.</w:t>
      </w:r>
      <w:bookmarkEnd w:id="62"/>
    </w:p>
    <w:p w14:paraId="5F6EFF72" w14:textId="77777777" w:rsidR="00DA3A7C" w:rsidRPr="001267A7" w:rsidRDefault="00DA3A7C" w:rsidP="00DA3A7C">
      <w:r w:rsidRPr="001267A7">
        <w:t>С начала ее действия в январе 2024 года брянцами было заключено 35 тысяч договоров. Программа долгосрочных сбережений предусматривает государственное содействие в платежах на протяжении 10 лет до 36 тысяч рублей в год, а также налоговый вычет.</w:t>
      </w:r>
    </w:p>
    <w:p w14:paraId="404A9C25" w14:textId="77777777" w:rsidR="00DA3A7C" w:rsidRPr="001267A7" w:rsidRDefault="00DA3A7C" w:rsidP="00DA3A7C">
      <w:r w:rsidRPr="001267A7">
        <w:t>Средства граждан, внесенные в рамках программы, застрахованы на сумму 2,8 миллиона рублей. Доступ к накоплениям можно будет получить через 15 лет или при достижении определенного возраста: 55 лет для женщин и 60 лет для мужчин.</w:t>
      </w:r>
    </w:p>
    <w:p w14:paraId="09550838" w14:textId="77777777" w:rsidR="00DA3A7C" w:rsidRPr="001267A7" w:rsidRDefault="00DA3A7C" w:rsidP="00DA3A7C">
      <w:r w:rsidRPr="001267A7">
        <w:t>Предусмотрена возможность получения средств досрочно в случае особых жизненных обстоятельств. С 1 октября 2025 года стать участником программы можно будет через единый портал Госуслуг, что обеспечит большую доступность для граждан. Также будет введен период охлаждения, который позволит расторгнуть договор без утраты льгот.</w:t>
      </w:r>
    </w:p>
    <w:p w14:paraId="1E28F87B" w14:textId="77777777" w:rsidR="00DA3A7C" w:rsidRPr="001267A7" w:rsidRDefault="00DA3A7C" w:rsidP="00DA3A7C">
      <w:r w:rsidRPr="001267A7">
        <w:lastRenderedPageBreak/>
        <w:t>В случае досрочного выхода из программы после внесенного взноса, участник лишается права на государственную поддержку, в том числе при заключении новых договоров в будущем.</w:t>
      </w:r>
    </w:p>
    <w:p w14:paraId="24D139A3" w14:textId="77777777" w:rsidR="00DA3A7C" w:rsidRPr="001267A7" w:rsidRDefault="00DA3A7C" w:rsidP="00DA3A7C">
      <w:r w:rsidRPr="001267A7">
        <w:t>Согласно новым правилам, участник программы имеет возможность расторгнуть договор, по которому не получал государственного содействия, и при этом сохранить право на господдержку по другим договорам, если это будет сделано до 1 апреля того же года, когда должны быть выделены средства от государства.</w:t>
      </w:r>
    </w:p>
    <w:p w14:paraId="099CE97A" w14:textId="77777777" w:rsidR="00111D7C" w:rsidRPr="001267A7" w:rsidRDefault="00DA3A7C" w:rsidP="00DA3A7C">
      <w:hyperlink r:id="rId17" w:history="1">
        <w:r w:rsidRPr="001267A7">
          <w:rPr>
            <w:rStyle w:val="a3"/>
          </w:rPr>
          <w:t>https://bryansku.ru/2025/05/19/sredi-bryantsev-nabiraet-populyarnost-programma-dolgosrochnyh-sberezheniy</w:t>
        </w:r>
      </w:hyperlink>
    </w:p>
    <w:p w14:paraId="63B596D4" w14:textId="77777777" w:rsidR="00AE20CB" w:rsidRPr="001267A7" w:rsidRDefault="00AE20CB" w:rsidP="00AE20CB">
      <w:pPr>
        <w:pStyle w:val="2"/>
      </w:pPr>
      <w:bookmarkStart w:id="63" w:name="_Toc198618866"/>
      <w:bookmarkEnd w:id="60"/>
      <w:r w:rsidRPr="001267A7">
        <w:t>rk.karelia.ru, 17.05.2025, Жителям Карелии объяснили, как делать долгосрочные сбережения по новому закону</w:t>
      </w:r>
      <w:bookmarkEnd w:id="63"/>
    </w:p>
    <w:p w14:paraId="486834FB" w14:textId="77777777" w:rsidR="00AE20CB" w:rsidRPr="001267A7" w:rsidRDefault="00AE20CB" w:rsidP="00593D6A">
      <w:pPr>
        <w:pStyle w:val="3"/>
      </w:pPr>
      <w:bookmarkStart w:id="64" w:name="_Toc198618867"/>
      <w:r w:rsidRPr="001267A7">
        <w:t>Сейчас, чтобы заключить договор на участие в программе долгосрочных сбережений, необходимо обращаться в негосударственный пенсионный фонд. С 1 октября оформить договор можно будет на портале «Госуслуги».</w:t>
      </w:r>
      <w:bookmarkEnd w:id="64"/>
    </w:p>
    <w:p w14:paraId="60C56596" w14:textId="77777777" w:rsidR="00AE20CB" w:rsidRPr="001267A7" w:rsidRDefault="00AE20CB" w:rsidP="00AE20CB">
      <w:r w:rsidRPr="001267A7">
        <w:t>Вступить в программу долгосрочных сбережений можно будет через портал «Госуслуги», сообщает Минфин Карелии. Госдума приняла в третьем чтении закон, по которому с 1 октября каждый желающий сможет заключить договор по программе долгосрочных сбережений через Единый портал государственных услуг.</w:t>
      </w:r>
    </w:p>
    <w:p w14:paraId="0FD7149F" w14:textId="77777777" w:rsidR="00AE20CB" w:rsidRPr="001267A7" w:rsidRDefault="00AE20CB" w:rsidP="00AE20CB">
      <w:r w:rsidRPr="001267A7">
        <w:t>«Программа долгосрочных сбережений (ПДС) — это новый финансовый продукт, позволяющий гражданам формировать сбережения с государственным софинансированием. Он дает возможность перевести на вклад накопительную часть пенсии или делать самостоятельные взносы и получать от государства дополнительно до 36 тысяч рублей на протяжении 10 лет. Требований к размеру и периодичности взносов нет. Участие в программе добровольное», — говорится в сообщении.</w:t>
      </w:r>
    </w:p>
    <w:p w14:paraId="493EC52B" w14:textId="77777777" w:rsidR="00AE20CB" w:rsidRPr="001267A7" w:rsidRDefault="00AE20CB" w:rsidP="00AE20CB">
      <w:r w:rsidRPr="001267A7">
        <w:t>Отметим, сейчас, чтобы заключить договор на участие в ПДС человеку необходимо обратиться в один из негосударственных пенсионных фондов, который является оператором программы. Сделать это можно на сайте или в офисе организации. С 1 октября заключение договора станет доступно и на портале «Госуслуги». Его необходимо будет заверить усиленной квалифицированной электронной подписью или усиленной неквалифицированной электронной подписью физлица, выданной в инфраструктуре «Госуслуги».</w:t>
      </w:r>
    </w:p>
    <w:p w14:paraId="081EDF50" w14:textId="77777777" w:rsidR="00AE20CB" w:rsidRPr="001267A7" w:rsidRDefault="00AE20CB" w:rsidP="00AE20CB">
      <w:r w:rsidRPr="001267A7">
        <w:t>Напомним, программа долгосрочных сбережений начала работать в России с 1 января 2024 года. За прошедший год было заключено 3,3 млн договоров. Сумма вкладов составила 245 млрд рублей. Карелия заняла первое место на Северо-Западе и второе место по стране по доле жителей, заключивших договор на участие в программе.</w:t>
      </w:r>
    </w:p>
    <w:p w14:paraId="2369A7A0" w14:textId="77777777" w:rsidR="00AE20CB" w:rsidRPr="001267A7" w:rsidRDefault="00AE20CB" w:rsidP="00AE20CB">
      <w:r w:rsidRPr="001267A7">
        <w:t>Подробнее с условиями программы можно познакомиться на сайте моифинансы.рф.</w:t>
      </w:r>
    </w:p>
    <w:p w14:paraId="27507B5F" w14:textId="77777777" w:rsidR="00DA3A7C" w:rsidRPr="001267A7" w:rsidRDefault="00AE20CB" w:rsidP="00AE20CB">
      <w:hyperlink r:id="rId18" w:history="1">
        <w:r w:rsidRPr="001267A7">
          <w:rPr>
            <w:rStyle w:val="a3"/>
          </w:rPr>
          <w:t>https://rk.karelia.ru/social/zhitelyam-karelii-obyasnili-kak-delat-dolgosrochnye-sberezheniya-po-novomu-zakonu/</w:t>
        </w:r>
      </w:hyperlink>
    </w:p>
    <w:p w14:paraId="5599A19C" w14:textId="77777777" w:rsidR="00315121" w:rsidRDefault="00315121" w:rsidP="00315121">
      <w:pPr>
        <w:pStyle w:val="2"/>
      </w:pPr>
      <w:bookmarkStart w:id="65" w:name="_Hlk198618207"/>
      <w:bookmarkStart w:id="66" w:name="_Toc198618868"/>
      <w:r>
        <w:lastRenderedPageBreak/>
        <w:t>Regions.ru, 19.05.2025, В Одинцове дали старт семейному фестивалю финансовой грамотности</w:t>
      </w:r>
      <w:bookmarkEnd w:id="66"/>
    </w:p>
    <w:p w14:paraId="01D9BD0F" w14:textId="77777777" w:rsidR="00315121" w:rsidRDefault="00315121" w:rsidP="00593D6A">
      <w:pPr>
        <w:pStyle w:val="3"/>
      </w:pPr>
      <w:bookmarkStart w:id="67" w:name="_Toc198618869"/>
      <w:r>
        <w:t>Одинцовский городской округ первым в Московской области принял муниципальный этап II Всероссийского семейного фестиваля сбережений и инвестиций. Об этом сообщили в администрации муниципалитета.</w:t>
      </w:r>
      <w:bookmarkEnd w:id="67"/>
    </w:p>
    <w:p w14:paraId="1936A4B2" w14:textId="77777777" w:rsidR="00315121" w:rsidRDefault="00315121" w:rsidP="00315121">
      <w:r>
        <w:t xml:space="preserve">Мероприятие, организованное по инициативе Министерства финансов Российской Федерации Финансовым университетом при Правительстве РФ, собрало 25 семей. Участвуя в интерактивных заданиях, семьи смогли проверить уровень своей финансовой осведомленности и получить новые знания в этой важной сфере. В частности, участники развили навыки защиты от финансового мошенничества, расширили представления о механизмах страхования сбережений и в режиме реального времени смоделировали управление своими денежными потоками, используя инструмент </w:t>
      </w:r>
      <w:r w:rsidRPr="00315121">
        <w:rPr>
          <w:b/>
        </w:rPr>
        <w:t>программы долгосрочных сбережений</w:t>
      </w:r>
      <w:r>
        <w:t>.</w:t>
      </w:r>
    </w:p>
    <w:p w14:paraId="6058F5A4" w14:textId="77777777" w:rsidR="00315121" w:rsidRDefault="00315121" w:rsidP="00315121">
      <w:r>
        <w:t xml:space="preserve">Все семьи, принявшие участие в фестивале, были отмечены памятными знаками. Наиболее успешно справившиеся с заданиями команды получили дипломы за призовые 1, 2 и 3 места. Победители муниципального этапа были признаны самой финансово грамотной семьей Одинцовского округа и автоматически получили право на участие в региональном этапе Фестиваля. </w:t>
      </w:r>
    </w:p>
    <w:p w14:paraId="4FD46F2A" w14:textId="77777777" w:rsidR="00315121" w:rsidRDefault="00315121" w:rsidP="00315121">
      <w:r>
        <w:t>Региональный этап для всех субъектов-участников пройдет 21 июня 2025 года. В Московской области площадкой для проведения регионального этапа станет Звенигород. Организаторы подготовили для участников не только конкурсную программу, но и увлекательную экскурсию по этому старинному подмосковному городу.</w:t>
      </w:r>
    </w:p>
    <w:p w14:paraId="23B98F40" w14:textId="77777777" w:rsidR="00315121" w:rsidRDefault="00315121" w:rsidP="00315121">
      <w:r>
        <w:t xml:space="preserve">Семьи, которые одержат победу на региональном уровне, в сентябре 2025 года отправятся в Москву для участия в федеральном этапе Всероссийского семейного фестиваля сбережений и инвестиций, где определится самая финансово грамотная семья Российской Федерации. </w:t>
      </w:r>
    </w:p>
    <w:p w14:paraId="20B960CB" w14:textId="77777777" w:rsidR="00AE20CB" w:rsidRPr="00315121" w:rsidRDefault="00315121" w:rsidP="00315121">
      <w:hyperlink r:id="rId19" w:history="1">
        <w:r w:rsidRPr="00C4501F">
          <w:rPr>
            <w:rStyle w:val="a3"/>
          </w:rPr>
          <w:t>https://regions.ru/odintsovo/vlast-obshestvo/v-odintsove-dali-start-semeynomu-festivalyu-finansovoy-gramotnosti</w:t>
        </w:r>
      </w:hyperlink>
    </w:p>
    <w:bookmarkEnd w:id="65"/>
    <w:p w14:paraId="02C31DB9" w14:textId="77777777" w:rsidR="00315121" w:rsidRPr="00315121" w:rsidRDefault="00315121" w:rsidP="00315121"/>
    <w:p w14:paraId="1257EABF" w14:textId="77777777" w:rsidR="00111D7C" w:rsidRPr="001267A7" w:rsidRDefault="00111D7C" w:rsidP="00111D7C">
      <w:pPr>
        <w:pStyle w:val="10"/>
      </w:pPr>
      <w:bookmarkStart w:id="68" w:name="_Toc165991074"/>
      <w:bookmarkStart w:id="69" w:name="_Toc198618870"/>
      <w:r w:rsidRPr="001267A7">
        <w:lastRenderedPageBreak/>
        <w:t>Новости развития системы обязательного пенсионного страхования и страховой пенсии</w:t>
      </w:r>
      <w:bookmarkEnd w:id="37"/>
      <w:bookmarkEnd w:id="38"/>
      <w:bookmarkEnd w:id="39"/>
      <w:bookmarkEnd w:id="68"/>
      <w:bookmarkEnd w:id="69"/>
    </w:p>
    <w:p w14:paraId="51D55F21" w14:textId="77777777" w:rsidR="002F566C" w:rsidRPr="001267A7" w:rsidRDefault="002F566C" w:rsidP="002F566C">
      <w:pPr>
        <w:pStyle w:val="2"/>
      </w:pPr>
      <w:bookmarkStart w:id="70" w:name="a6"/>
      <w:bookmarkStart w:id="71" w:name="_Toc198618871"/>
      <w:bookmarkEnd w:id="70"/>
      <w:r w:rsidRPr="001267A7">
        <w:t>Известия, 19.05.2025, Пойти в разрыв: средние выплаты работающим пенсионерам выросли на 150 рублей</w:t>
      </w:r>
      <w:bookmarkEnd w:id="71"/>
    </w:p>
    <w:p w14:paraId="01AF593F" w14:textId="77777777" w:rsidR="002F566C" w:rsidRPr="001267A7" w:rsidRDefault="002F566C" w:rsidP="00593D6A">
      <w:pPr>
        <w:pStyle w:val="3"/>
      </w:pPr>
      <w:bookmarkStart w:id="72" w:name="_Toc198618872"/>
      <w:r w:rsidRPr="001267A7">
        <w:t>Средняя страховая пенсия по старости для работающих пенсионеров за первые три месяца этого года выросла на 150 рублей, до 22 тыс., выяснили «Известия». Это первые результаты индексации, которую возобновили с 2025-го. При этом годом ранее средние начисления росли даже быстрее. Кроме того, разрыв между господдержкой трудящихся и незанятых граждан всё еще достаточно большой. И чтобы сохранить достойный уровень жизни пожилым людям, все же выгоднее продолжать работать, так как пенсии не позволяют в достаточной мере компенсировать утраченный заработок. Как копить на старость и каким образом государство старается улучшить этот механизм - в материале «Известий».</w:t>
      </w:r>
      <w:bookmarkEnd w:id="72"/>
    </w:p>
    <w:p w14:paraId="3EFF7AB6" w14:textId="77777777" w:rsidR="002F566C" w:rsidRPr="001267A7" w:rsidRDefault="002F566C" w:rsidP="002F566C">
      <w:r w:rsidRPr="001267A7">
        <w:t>Как изменились пенсии по старости после индексации в 2025 году</w:t>
      </w:r>
    </w:p>
    <w:p w14:paraId="6A137421" w14:textId="77777777" w:rsidR="002F566C" w:rsidRPr="001267A7" w:rsidRDefault="002F566C" w:rsidP="002F566C">
      <w:r w:rsidRPr="001267A7">
        <w:t>На 1 апреля средняя пенсия по старости у работающих россиян составила 22 тыс. рублей, следует из данных единой межведомственной информационно-статистической системы (ЕМИСС - ее координирует Росстат). «Известия» изучили данные. Речь о начисленных средствах: поступления суммируются и делятся на количество получателей. По факту деньги, которые идут конкретному гражданину, могут отличаться - они зависят от стажа, накопленных пенсионных баллов и региона.</w:t>
      </w:r>
    </w:p>
    <w:p w14:paraId="075B08EF" w14:textId="77777777" w:rsidR="002F566C" w:rsidRPr="001267A7" w:rsidRDefault="002F566C" w:rsidP="002F566C">
      <w:r w:rsidRPr="001267A7">
        <w:t>Например, на начало 2025 года самые высокие выплаты для трудящихся пенсионеров были на Чукотке (34,5 тыс.), а самые низкие - в Кабардино-Балкарии (почти 19,4 тыс.). Спустя три месяца они увеличились незначительно - на 71 рубль и 18 рублей соответственно.</w:t>
      </w:r>
    </w:p>
    <w:p w14:paraId="4A725E5D" w14:textId="77777777" w:rsidR="002F566C" w:rsidRPr="001267A7" w:rsidRDefault="002F566C" w:rsidP="002F566C">
      <w:r w:rsidRPr="001267A7">
        <w:t>За первые три месяца пенсии работающих возросли всего на 150 рублей, следует из данных ЕМИСС, несмотря на то что с этого года для них возобновили индексацию (всем пенсионерам с 2025-го увеличили поддержку на 9,5%).</w:t>
      </w:r>
    </w:p>
    <w:p w14:paraId="209AEFB4" w14:textId="77777777" w:rsidR="002F566C" w:rsidRPr="001267A7" w:rsidRDefault="002F566C" w:rsidP="002F566C">
      <w:r w:rsidRPr="001267A7">
        <w:t>До этого, с 2016-го, такие выплаты не увеличивали на размер инфляции. Тем не менее за I квартал прошлого года средние начисленные пенсии трудящихся выросли на 300 рублей. В 2024-м выплаты увеличивались более динамично, поскольку тогда были сделаны первые шаги по выравниванию условий для работающих и неработающих пенсионеров, пояснил аналитик Freedom Finance Global Владимир Чернов. С прошлого года трудящимся увеличили фиксированную часть пенсий, повысили стоимость индивидуального пенсионного коэффициента (с его помощью рассчитывается размер начисления) и улучшили условия для начисления дополнительных баллов за работу после выхода на пенсию.</w:t>
      </w:r>
    </w:p>
    <w:p w14:paraId="72EA7EAA" w14:textId="77777777" w:rsidR="002F566C" w:rsidRPr="001267A7" w:rsidRDefault="002F566C" w:rsidP="002F566C">
      <w:r w:rsidRPr="001267A7">
        <w:t>«Известия» направили запросы в Минтруд и СФР.</w:t>
      </w:r>
    </w:p>
    <w:p w14:paraId="290A3B64" w14:textId="77777777" w:rsidR="002F566C" w:rsidRPr="001267A7" w:rsidRDefault="002F566C" w:rsidP="002F566C">
      <w:r w:rsidRPr="001267A7">
        <w:t>Выгодно ли работать на пенсии</w:t>
      </w:r>
    </w:p>
    <w:p w14:paraId="08953A15" w14:textId="77777777" w:rsidR="002F566C" w:rsidRPr="001267A7" w:rsidRDefault="002F566C" w:rsidP="002F566C">
      <w:r w:rsidRPr="001267A7">
        <w:t xml:space="preserve">Несмотря на возобновление индексации и другие шаги по выравниванию условий для людей старшего поколения, разница в выплатах работающим и неработающим </w:t>
      </w:r>
      <w:r w:rsidRPr="001267A7">
        <w:lastRenderedPageBreak/>
        <w:t>пенсионерам всё еще велика. К 1 апреля 2025-го незанятым пожилым гражданам в среднем начисляли 25,8 тыс. рублей, следует из данных ЕМИСС. Впрочем, их поддержка росла еще медленнее - всего на 55 рублей за три месяца.</w:t>
      </w:r>
    </w:p>
    <w:p w14:paraId="5FE1E76E" w14:textId="77777777" w:rsidR="002F566C" w:rsidRPr="001267A7" w:rsidRDefault="002F566C" w:rsidP="002F566C">
      <w:r w:rsidRPr="001267A7">
        <w:t>Таким образом, разница между выплатами работающим и неработающим к 1 апреля составила почти 3,8 тыс. Разрыв в I квартале снизился лишь на 100 рублей. Для сравнения, за аналогичный период прошлого года он уменьшился на 300 рублей.</w:t>
      </w:r>
    </w:p>
    <w:p w14:paraId="787862D0" w14:textId="77777777" w:rsidR="002F566C" w:rsidRPr="001267A7" w:rsidRDefault="002F566C" w:rsidP="002F566C">
      <w:r w:rsidRPr="001267A7">
        <w:t>- У тех, кто вышел на пенсию в период действия моратория на индексацию и продолжил работать, размеры выплат будут всё еще меньше, чем у тех, кто изначально перестал работать. Это продлится до тех пор, пока граждане не перестанут трудиться и выйдут на заслуженный отдых - тогда им поднимут оплату до того уровня, который мог бы быть с учетом всех пропущенных индексаций, - пояснил старший научный сотрудник Центра ИНСАП ИПЭИ Президентской академии Виктор Ляшок.</w:t>
      </w:r>
    </w:p>
    <w:p w14:paraId="3D73CF6E" w14:textId="77777777" w:rsidR="002F566C" w:rsidRPr="001267A7" w:rsidRDefault="002F566C" w:rsidP="002F566C">
      <w:r w:rsidRPr="001267A7">
        <w:t>Эксперт добавил: разрыв сокращается дважды в год: в январе после индексации пенсий и в августе после перерасчета работающим пенсионерам и учета их накопленных за последние 12 месяцев коэффициентов. Между этими периодами изменения в разнице размеров пенсий связаны лишь с переменами в составе работающих и неработающих, добавил Виктор Ляшок.</w:t>
      </w:r>
    </w:p>
    <w:p w14:paraId="1EE99132" w14:textId="77777777" w:rsidR="002F566C" w:rsidRPr="001267A7" w:rsidRDefault="002F566C" w:rsidP="002F566C">
      <w:r w:rsidRPr="001267A7">
        <w:t>К концу 2025 года разница в оплате работающим и неработающим особо не сократится, уверен аналитик Freedom Finance Global Владимир Чернов. Он добавил: если власти не примут дополнительных мер по компенсации накопленных индексаций за период с 2016 по 2024 год, то такой разрыв в выплатах полностью не исчезнет в ближайшие годы.</w:t>
      </w:r>
    </w:p>
    <w:p w14:paraId="0173E3AA" w14:textId="77777777" w:rsidR="002F566C" w:rsidRPr="001267A7" w:rsidRDefault="002F566C" w:rsidP="002F566C">
      <w:r w:rsidRPr="001267A7">
        <w:t>Сколько россияне теряют при выходе на пенсию</w:t>
      </w:r>
    </w:p>
    <w:p w14:paraId="55F1A296" w14:textId="77777777" w:rsidR="002F566C" w:rsidRPr="001267A7" w:rsidRDefault="002F566C" w:rsidP="002F566C">
      <w:r w:rsidRPr="001267A7">
        <w:t>Для многих пожилых продолжение работы необходимо для поддержания привычного образа жизни - одной пенсии для этого может быть недостаточно, полагает Ольга Беленькая из ФГ «Финам». Она добавила: соотношение средней пенсии и зарплаты значительно ниже рекомендуемых Международной организацией труда (не менее 40%) и имеет тенденцию к сокращению на фоне опережающего роста зарплат, особенно в последние три года.</w:t>
      </w:r>
    </w:p>
    <w:p w14:paraId="31F72651" w14:textId="77777777" w:rsidR="002F566C" w:rsidRPr="001267A7" w:rsidRDefault="002F566C" w:rsidP="002F566C">
      <w:r w:rsidRPr="001267A7">
        <w:t>Как писали ранее «Известия», в России на конец 2024-го средняя страховая пенсия по старости составила 25 тыс. рублей, а зарплата - 86 тыс. Соответственно, при достижении старости пожилые люди получают от государства ниже трети (29%) от заработка, который могли бы получать, если бы работали, подсчитали в Национальной ассоциации негосударственных пенсионных фондов (НАПФ).</w:t>
      </w:r>
    </w:p>
    <w:p w14:paraId="7185BDDA" w14:textId="77777777" w:rsidR="002F566C" w:rsidRPr="001267A7" w:rsidRDefault="002F566C" w:rsidP="002F566C">
      <w:r w:rsidRPr="001267A7">
        <w:t>Тем не менее если у пенсионеров есть возможность и желание, то им выгоднее работать - у трудящихся пожилых людей не снижается уровень жизни, считает доцент базовой кафедры Торгово-промышленной палаты РФ «Управление человеческими ресурсами» РЭУ им. Г.В. Плеханова Людмила Иванова-Швец. Кроме того, рынок труда с дефицитом рабочей силы способствует поддержанию трудовой деятельности - сейчас работодатели гораздо охотнее стали оставлять у себя работников предпенсионного и пенсионного возрастов.</w:t>
      </w:r>
    </w:p>
    <w:p w14:paraId="32D13887" w14:textId="77777777" w:rsidR="002F566C" w:rsidRPr="001267A7" w:rsidRDefault="002F566C" w:rsidP="002F566C">
      <w:r w:rsidRPr="001267A7">
        <w:lastRenderedPageBreak/>
        <w:t>Государственная пенсия не позволяет обеспечить привычный уровень жизни, поэтому личная финансовая стратегия становится ключевым элементом подготовки к выходу на заслуженный отдых, считает Владимир Чернов из Freedom Finance Global.</w:t>
      </w:r>
    </w:p>
    <w:p w14:paraId="1F724EEA" w14:textId="77777777" w:rsidR="002F566C" w:rsidRPr="001267A7" w:rsidRDefault="002F566C" w:rsidP="002F566C">
      <w:r w:rsidRPr="001267A7">
        <w:t>- Чтобы обеспечить себе достойную старость, важно начинать формировать накопления как можно раньше. Это может быть участие в корпоративных пенсионных программах, открытие индивидуальных инвестиционных счетов (ИИС), регулярные вложения в консервативные инструменты, такие как облигации федерального займа (ОФЗ), дивидендные акции, банковские депозиты или недвижимость, приносящая арендный доход. Желательно начинать планировать накопления таким образом, чтобы к выходу на пенсию можно было получать пассивный доход, сопоставимый хотя бы с 50-60% от последней заработной платы, - полагает Владимир Чернов.</w:t>
      </w:r>
    </w:p>
    <w:p w14:paraId="7F4A1F80" w14:textId="77777777" w:rsidR="002F566C" w:rsidRPr="001267A7" w:rsidRDefault="002F566C" w:rsidP="002F566C">
      <w:r w:rsidRPr="001267A7">
        <w:t>Кроме того, с 2024 года запущена новая госпрограмма долгосрочных сбережений, напомнила Ольга Беленькая из ФГ «Финам». Пока она не пользуется значительным спросом: за прошлый год властям не удалось выполнить план по привлечению средств в этот инструмент, писали «Известия».</w:t>
      </w:r>
    </w:p>
    <w:p w14:paraId="59A7700D" w14:textId="77777777" w:rsidR="002F566C" w:rsidRPr="001267A7" w:rsidRDefault="002F566C" w:rsidP="002F566C">
      <w:r w:rsidRPr="001267A7">
        <w:t>Однако Минфин старается доработать инструмент и сделать его более привлекательным. Среди инициатив - предоставить стимулы для работодателей участвовать в формировании пенсионных сбережений работников. Это необходимо для того, чтобы учитывать сберегательные взносы работодателей по программе долгосрочных сбережений (ПДС) в составе расходов при налогообложении прибыли.</w:t>
      </w:r>
    </w:p>
    <w:p w14:paraId="07829AFD" w14:textId="77777777" w:rsidR="002F566C" w:rsidRPr="001267A7" w:rsidRDefault="002F566C" w:rsidP="002F566C">
      <w:hyperlink r:id="rId20" w:history="1">
        <w:r w:rsidRPr="001267A7">
          <w:rPr>
            <w:rStyle w:val="a3"/>
          </w:rPr>
          <w:t>https://iz.ru/1887460/olga-anaseva/poiti-v-razryv-srednie-vyplaty-rabotaiushchim-pensioneram-vyrosli-na-150-rublei</w:t>
        </w:r>
      </w:hyperlink>
      <w:r w:rsidRPr="001267A7">
        <w:t xml:space="preserve"> </w:t>
      </w:r>
    </w:p>
    <w:p w14:paraId="38807D7B" w14:textId="77777777" w:rsidR="001F42F5" w:rsidRPr="001267A7" w:rsidRDefault="001F42F5" w:rsidP="001F42F5">
      <w:pPr>
        <w:pStyle w:val="2"/>
      </w:pPr>
      <w:bookmarkStart w:id="73" w:name="_Toc198618873"/>
      <w:r w:rsidRPr="001267A7">
        <w:t>Российская газета, 19.05.2025, В Госдуме предложили не учитывать число иждивенцев для повышения пенсии</w:t>
      </w:r>
      <w:bookmarkEnd w:id="73"/>
    </w:p>
    <w:p w14:paraId="345A998C" w14:textId="77777777" w:rsidR="001F42F5" w:rsidRPr="001267A7" w:rsidRDefault="001F42F5" w:rsidP="00593D6A">
      <w:pPr>
        <w:pStyle w:val="3"/>
      </w:pPr>
      <w:bookmarkStart w:id="74" w:name="_Toc198618874"/>
      <w:r w:rsidRPr="001267A7">
        <w:t>Сегодня в Госдуму вносится законопроект, предусматривающий снятие ограничений по числу нетрудоспособных членов семьи, находящихся на иждивении пенсионеров. Это позволит повысить уровень материального обеспечения семьи.</w:t>
      </w:r>
      <w:bookmarkEnd w:id="74"/>
    </w:p>
    <w:p w14:paraId="12C15CBD" w14:textId="77777777" w:rsidR="001F42F5" w:rsidRPr="001267A7" w:rsidRDefault="001F42F5" w:rsidP="001F42F5">
      <w:r w:rsidRPr="001267A7">
        <w:t>Автор законопроекта, с которым ознакомилась "Российская газета", - глава Комитета Госдумы по труду, соцзащите и делам ветеранов Ярослав Нилов напомнил, что сейчас законом предусмотрено увеличение размеров пенсий гражданам, на иждивении которых находятся нетрудоспособные члены семьи. К страховым пенсиям (по старости или инвалидности) устанавливается повышенная фиксированная выплата. В большинстве своем такое повышение устанавливается пенсионерам, имеющим на иждивении несовершеннолетних детей.</w:t>
      </w:r>
    </w:p>
    <w:p w14:paraId="1F0F8013" w14:textId="77777777" w:rsidR="001F42F5" w:rsidRPr="001267A7" w:rsidRDefault="001F42F5" w:rsidP="001F42F5">
      <w:r w:rsidRPr="001267A7">
        <w:t>Но повышение пенсий устанавливается не более чем на трех членов семьи. "Подготовленный законопроект направлен на исключение существующего ограничения по числу нетрудоспособных иждивенцев, что в должной мере будет способствовать повышению уровня материального обеспечения семей, в особенности многодетных", - подчеркивает Нилов.</w:t>
      </w:r>
    </w:p>
    <w:p w14:paraId="30B12255" w14:textId="77777777" w:rsidR="001F42F5" w:rsidRPr="001267A7" w:rsidRDefault="001F42F5" w:rsidP="001F42F5">
      <w:r w:rsidRPr="001267A7">
        <w:t xml:space="preserve">К числу иждивенцев, за которых можно получить повышение фиксированной выплаты, относятся только близкие родственники пожилого человека. Это, в первую очередь, </w:t>
      </w:r>
      <w:r w:rsidRPr="001267A7">
        <w:lastRenderedPageBreak/>
        <w:t>дети пожилого человека в возрасте до 18 лет (факт подтверждения иждивения не требуется) или дети в возрасте от 18 до 23 лет, если они получили инвалидность до совершеннолетия или учатся (подтверждается справкой из учебного заведения) и не работают. При этом право на увеличение пенсии имеют оба родителя. Также к иждивенцам могут быть отнесены братья, сестры и внуки до 18 лет либо от 18 до 23 лет, если у них нет других родственников трудоспособного возраста, которые по закону обязаны их содержать.</w:t>
      </w:r>
    </w:p>
    <w:p w14:paraId="167EF105" w14:textId="77777777" w:rsidR="001F42F5" w:rsidRPr="001267A7" w:rsidRDefault="001F42F5" w:rsidP="001F42F5">
      <w:r w:rsidRPr="001267A7">
        <w:t>Пенсионеру к размеру фиксированной выплаты к страховой пенсии будет установлено повышение за каждого иждивенца, но не более чем на 3 человек.</w:t>
      </w:r>
    </w:p>
    <w:p w14:paraId="1EF11400" w14:textId="77777777" w:rsidR="001F42F5" w:rsidRPr="001267A7" w:rsidRDefault="001F42F5" w:rsidP="001F42F5">
      <w:r w:rsidRPr="001267A7">
        <w:t>Величина фиксированной выплаты к пенсии с 1 января 2025 года установлена в размере 8907,70 руб. Поэтому в зависимости от числа лиц, находящихся на обеспечении пенсионера, сумма доплаты к пенсии в 2025 году составляет:</w:t>
      </w:r>
    </w:p>
    <w:p w14:paraId="21990CE8" w14:textId="77777777" w:rsidR="001F42F5" w:rsidRPr="001267A7" w:rsidRDefault="001F42F5" w:rsidP="001F42F5">
      <w:r w:rsidRPr="001267A7">
        <w:t>2969,23 руб. при наличии одного иждивенца (1/3 фиксированной выплаты); 5938,47 руб. за двух иждивенцев (надбавка 2/3); 8907,70 руб. за трех иждивенцев.</w:t>
      </w:r>
    </w:p>
    <w:p w14:paraId="0790F002" w14:textId="77777777" w:rsidR="001F42F5" w:rsidRPr="001267A7" w:rsidRDefault="001F42F5" w:rsidP="001F42F5">
      <w:hyperlink r:id="rId21" w:history="1">
        <w:r w:rsidRPr="001267A7">
          <w:rPr>
            <w:rStyle w:val="a3"/>
          </w:rPr>
          <w:t>https://rg.ru/2025/05/19/v-gosdume-predlozhili-ne-uchityvat-chislo-izhdivencev-dlia-povysheniia-pensii.html</w:t>
        </w:r>
      </w:hyperlink>
      <w:r w:rsidRPr="001267A7">
        <w:t xml:space="preserve"> </w:t>
      </w:r>
    </w:p>
    <w:p w14:paraId="5E543A64" w14:textId="77777777" w:rsidR="0033575A" w:rsidRPr="001267A7" w:rsidRDefault="0033575A" w:rsidP="0033575A">
      <w:pPr>
        <w:pStyle w:val="2"/>
      </w:pPr>
      <w:bookmarkStart w:id="75" w:name="_Toc198618875"/>
      <w:r w:rsidRPr="001267A7">
        <w:t>Парламентская газета, 19.05.2025, В Госдуму внесли законопроект о прибавке к пенсии за всех иждивенцев</w:t>
      </w:r>
      <w:bookmarkEnd w:id="75"/>
    </w:p>
    <w:p w14:paraId="6050FAF9" w14:textId="77777777" w:rsidR="0033575A" w:rsidRPr="001267A7" w:rsidRDefault="0033575A" w:rsidP="00593D6A">
      <w:pPr>
        <w:pStyle w:val="3"/>
      </w:pPr>
      <w:bookmarkStart w:id="76" w:name="_Toc198618876"/>
      <w:r w:rsidRPr="001267A7">
        <w:t>Председатель Комитета Госдумы по труду, социальной политике и делам ветеранов Ярослав Нилов предложил отменить ограничение по числу нетрудоспособных иждивенцев, за которых начисляются выплаты к страховой пенсии. Соответствующий законопроект он внес на рассмотрение палаты 19 мая. Изменения предлагается внести в законы «О государственном пенсионном обеспечении в Российской Федерации» и «О страховых пенсиях».</w:t>
      </w:r>
      <w:bookmarkEnd w:id="76"/>
    </w:p>
    <w:p w14:paraId="1DB90AD6" w14:textId="77777777" w:rsidR="0033575A" w:rsidRPr="001267A7" w:rsidRDefault="0033575A" w:rsidP="0033575A">
      <w:r w:rsidRPr="001267A7">
        <w:t>В своих соцсетях Нилов отметил, что сегодня пенсионеры получают повышенную фиксированную выплату к страховой пенсии за каждого нетрудоспособного членам семьи, который находится на иждивении. «Все правильно, но почему количество членов семьи в таком случае ограничено тремя?» - задался вопросом депутат.</w:t>
      </w:r>
    </w:p>
    <w:p w14:paraId="5EE16831" w14:textId="77777777" w:rsidR="0033575A" w:rsidRPr="001267A7" w:rsidRDefault="0033575A" w:rsidP="0033575A">
      <w:r w:rsidRPr="001267A7">
        <w:t>По его словам, законопроект снимает это искусственное ограничение. «Сколько членов семьи есть на иждивении, столько и прибавки к пенсии», - указал парламентарий.</w:t>
      </w:r>
    </w:p>
    <w:p w14:paraId="0866FF57" w14:textId="77777777" w:rsidR="0033575A" w:rsidRPr="001267A7" w:rsidRDefault="0033575A" w:rsidP="0033575A">
      <w:r w:rsidRPr="001267A7">
        <w:t>В отзыве Правительстве говорится, что документ нуждается в существенной доработке. В кабмине указали, что сейчас пенсионное законодательство предусматривает льготные условия для повышения фиксированной выплаты и размера пенсий по государственному пенсионному обеспечению, согласно которым установление такого увеличения не зависит от факта работы самого пенсионера или нетрудоспособного члена семьи, а также от факта получения нетрудоспособным членом семьи пенсии. Кроме того, повышение фиксированной выплаты может устанавливаться одновременно обоим родителям-пенсионерам, имеющим на это право, в том числе за одного и того же нетрудоспособного члена семьи, находящегося на их общем иждивении.</w:t>
      </w:r>
    </w:p>
    <w:p w14:paraId="725E506B" w14:textId="77777777" w:rsidR="0033575A" w:rsidRPr="001267A7" w:rsidRDefault="0033575A" w:rsidP="0033575A">
      <w:r w:rsidRPr="001267A7">
        <w:t xml:space="preserve">В Правительстве также заявили, что, согласно финансово-экономическому обоснованию к законопроекту, реализация предлагаемых изменений потребует </w:t>
      </w:r>
      <w:r w:rsidRPr="001267A7">
        <w:lastRenderedPageBreak/>
        <w:t>дополнительных расходов бюджета Социального фонда России. При этом источники финансирования и порядок исполнения соответствующих видов расходов инициативой не определены.</w:t>
      </w:r>
    </w:p>
    <w:p w14:paraId="27401255" w14:textId="77777777" w:rsidR="0033575A" w:rsidRPr="001267A7" w:rsidRDefault="0033575A" w:rsidP="0033575A">
      <w:hyperlink r:id="rId22" w:history="1">
        <w:r w:rsidRPr="001267A7">
          <w:rPr>
            <w:rStyle w:val="a3"/>
          </w:rPr>
          <w:t>https://www.pnp.ru/social/v-gosdumu-vnesli-zakonoproekt-o-pribavke-k-pensii-za-vsekh-izhdivencev.html</w:t>
        </w:r>
      </w:hyperlink>
      <w:r w:rsidRPr="001267A7">
        <w:t xml:space="preserve"> </w:t>
      </w:r>
    </w:p>
    <w:p w14:paraId="600C0B49" w14:textId="77777777" w:rsidR="001F42F5" w:rsidRPr="001267A7" w:rsidRDefault="001F42F5" w:rsidP="001F42F5">
      <w:pPr>
        <w:pStyle w:val="2"/>
      </w:pPr>
      <w:bookmarkStart w:id="77" w:name="_Toc198618877"/>
      <w:r w:rsidRPr="001267A7">
        <w:t>RT, 19.05.2025, В Госдуме назвали условия, при которых может измениться размер пенсии</w:t>
      </w:r>
      <w:bookmarkEnd w:id="77"/>
    </w:p>
    <w:p w14:paraId="4919E981" w14:textId="77777777" w:rsidR="001F42F5" w:rsidRPr="001267A7" w:rsidRDefault="001F42F5" w:rsidP="00593D6A">
      <w:pPr>
        <w:pStyle w:val="3"/>
      </w:pPr>
      <w:bookmarkStart w:id="78" w:name="_Toc198618878"/>
      <w:r w:rsidRPr="001267A7">
        <w:t>Размер пенсии может измениться при смене региона проживания, особенно если в новом городе действует другой районный коэффициент, рассказал в беседе с RT депутат Госдумы, член комитета по бюджету и налогам Никита Чаплин. Он отметил, что это актуально для пенсионеров, переезжающих из районов Крайнего Севера.</w:t>
      </w:r>
      <w:bookmarkEnd w:id="78"/>
    </w:p>
    <w:p w14:paraId="021FC89E" w14:textId="77777777" w:rsidR="001F42F5" w:rsidRPr="001267A7" w:rsidRDefault="001F42F5" w:rsidP="001F42F5">
      <w:r w:rsidRPr="001267A7">
        <w:t>«Мы понимаем, что переезд может повлиять на размер пенсии, особенно при смене климатических зон. Однако важно помнить, что право на повышенные выплаты сохраняется у граждан, имеющих достаточный северный стаж», - пояснил Чаплин.</w:t>
      </w:r>
    </w:p>
    <w:p w14:paraId="18600535" w14:textId="77777777" w:rsidR="001F42F5" w:rsidRPr="001267A7" w:rsidRDefault="001F42F5" w:rsidP="001F42F5">
      <w:r w:rsidRPr="001267A7">
        <w:t>Отмечается, что повышенный районный коэффициент сохраняется за пенсионерами, проработавшими не менее 15 календарных лет в районах Крайнего Севера и имеющими страховой стаж не менее 20 лет для женщин и 25 лет для мужчин, независимо от места проживания.</w:t>
      </w:r>
    </w:p>
    <w:p w14:paraId="36B47163" w14:textId="77777777" w:rsidR="001F42F5" w:rsidRPr="001267A7" w:rsidRDefault="001F42F5" w:rsidP="001F42F5">
      <w:r w:rsidRPr="001267A7">
        <w:t>«Существуют и другие факторы, влияющие на размер пенсии. Предусмотрены различные доплаты за работу и проживание в определённых регионах, включая надбавки за работу на Крайнем Севере, сельским жителям и представителям определённых профессий», - добавил парламентарий.</w:t>
      </w:r>
    </w:p>
    <w:p w14:paraId="436EB71C" w14:textId="77777777" w:rsidR="001F42F5" w:rsidRPr="001267A7" w:rsidRDefault="001F42F5" w:rsidP="001F42F5">
      <w:r w:rsidRPr="001267A7">
        <w:t>Кроме того, Чаплин рассказал, что самые высокие пенсии в России получают жители Чукотского АО, Ямало-Ненецкого АО, Москвы, Магаданской области, Ненецкого АО.</w:t>
      </w:r>
    </w:p>
    <w:p w14:paraId="09738657" w14:textId="77777777" w:rsidR="001F42F5" w:rsidRPr="001267A7" w:rsidRDefault="001F42F5" w:rsidP="001F42F5">
      <w:r w:rsidRPr="001267A7">
        <w:t>«Вслед за ними идут Камчатский край, Сахалинская область, Ханты-Мансийский АО - Югра, Республика Саха (Якутия) и Тюменская область», - пояснил собеседник RT.</w:t>
      </w:r>
    </w:p>
    <w:p w14:paraId="2FF570ED" w14:textId="77777777" w:rsidR="001F42F5" w:rsidRPr="001267A7" w:rsidRDefault="001F42F5" w:rsidP="001F42F5">
      <w:r w:rsidRPr="001267A7">
        <w:t>Помимо этого, при переезде в другой регион он порекомендовал своевременно проинформировать Социальный фонд России (СФР) о смене адреса.</w:t>
      </w:r>
    </w:p>
    <w:p w14:paraId="75FA0C36" w14:textId="77777777" w:rsidR="001F42F5" w:rsidRPr="001267A7" w:rsidRDefault="001F42F5" w:rsidP="001F42F5">
      <w:r w:rsidRPr="001267A7">
        <w:t>«Для перевода пенсионного дела достаточно подать заявление о доставке пенсии с указанием актуальных данных в территориальный орган СФР по новому месту жительства. Сделать это можно лично в отделении или в МФЦ, через портал «Госуслуги» или на сайте СФР. В заявлении необходимо указать адрес регистрации или фактического проживания. СФР рассматривает заявление о переводе выплатного дела в течение четырёх рабочих дней. После получения дела пенсионер будет поставлен на учёт, и выплата пенсии возобновится в кратчайшие сроки, без перерывов», - заключил депутат.</w:t>
      </w:r>
    </w:p>
    <w:p w14:paraId="14B364D6" w14:textId="77777777" w:rsidR="001F42F5" w:rsidRPr="001267A7" w:rsidRDefault="001F42F5" w:rsidP="001F42F5">
      <w:r w:rsidRPr="001267A7">
        <w:t>Ранее управляющий партнёр компании «Русяев и партнёры» юрист Илья Русяев рассказал RT о том, кто в России может остаться без пенсии.</w:t>
      </w:r>
    </w:p>
    <w:p w14:paraId="41302AE7" w14:textId="77777777" w:rsidR="001F42F5" w:rsidRPr="001267A7" w:rsidRDefault="001F42F5" w:rsidP="001F42F5">
      <w:hyperlink r:id="rId23" w:history="1">
        <w:r w:rsidRPr="001267A7">
          <w:rPr>
            <w:rStyle w:val="a3"/>
          </w:rPr>
          <w:t>https://russian.rt.com/russia/news/1479963-deputat-chaplin-pensiya-razmer-smena-region?utm_source=rss&amp;utm_medium=rss&amp;utm_campaign=RSS</w:t>
        </w:r>
      </w:hyperlink>
      <w:r w:rsidRPr="001267A7">
        <w:t xml:space="preserve"> </w:t>
      </w:r>
    </w:p>
    <w:p w14:paraId="6FEAAC7E" w14:textId="77777777" w:rsidR="001F42F5" w:rsidRPr="001267A7" w:rsidRDefault="001F42F5" w:rsidP="001F42F5">
      <w:pPr>
        <w:pStyle w:val="2"/>
      </w:pPr>
      <w:bookmarkStart w:id="79" w:name="_Toc198618879"/>
      <w:r w:rsidRPr="001267A7">
        <w:lastRenderedPageBreak/>
        <w:t>RT, 19.05.2025, Депутат: в августе 2025 года работающим пенсионерам пересчитают страховую пенсию</w:t>
      </w:r>
      <w:bookmarkEnd w:id="79"/>
    </w:p>
    <w:p w14:paraId="18E8500B" w14:textId="77777777" w:rsidR="001F42F5" w:rsidRPr="001267A7" w:rsidRDefault="001F42F5" w:rsidP="00593D6A">
      <w:pPr>
        <w:pStyle w:val="3"/>
      </w:pPr>
      <w:bookmarkStart w:id="80" w:name="_Toc198618880"/>
      <w:r w:rsidRPr="001267A7">
        <w:t>В августе 2025 года работающим пенсионерам произведут ежегодный перерасчёт страховой пенсии, рассказал RT депутат Госдумы, член комитета Госдумы по малому и среднему предпринимательству Алексей Говырин.</w:t>
      </w:r>
      <w:bookmarkEnd w:id="80"/>
    </w:p>
    <w:p w14:paraId="235369A0" w14:textId="77777777" w:rsidR="001F42F5" w:rsidRPr="001267A7" w:rsidRDefault="001F42F5" w:rsidP="001F42F5">
      <w:r w:rsidRPr="001267A7">
        <w:t>«Сумма пересчитанной пенсии будет поступать с августа, при этом дата фактической выплаты зависит от региона проживания, как правило, это бывает с 3-го по 25-е число месяца», - отметил депутат.</w:t>
      </w:r>
    </w:p>
    <w:p w14:paraId="5207D85F" w14:textId="77777777" w:rsidR="001F42F5" w:rsidRPr="001267A7" w:rsidRDefault="001F42F5" w:rsidP="001F42F5">
      <w:r w:rsidRPr="001267A7">
        <w:t>По его словам, августовский перерасчёт пенсий касается тех, кто в течение 2024 года работал официально и за кого работодатели уплачивали страховые взносы.</w:t>
      </w:r>
    </w:p>
    <w:p w14:paraId="120485AA" w14:textId="77777777" w:rsidR="001F42F5" w:rsidRPr="001267A7" w:rsidRDefault="001F42F5" w:rsidP="001F42F5">
      <w:r w:rsidRPr="001267A7">
        <w:t>«Этот перерасчёт будет происходить автоматически - никакой подачи заявлений не потребуется. От количества пенсионных баллов, начисленных за предыдущий календарный год, будет зависеть размер прибавки. Для работающих пенсионеров прибавку начислят максимум на три пенсионных балла», - объяснил он.</w:t>
      </w:r>
    </w:p>
    <w:p w14:paraId="5288735E" w14:textId="77777777" w:rsidR="001F42F5" w:rsidRPr="001267A7" w:rsidRDefault="001F42F5" w:rsidP="001F42F5">
      <w:r w:rsidRPr="001267A7">
        <w:t>Стоимость одного такого коэффициента при перерасчёте - та, которая действовала на момент выхода на пенсию. Это означает, что если пенсионер оформил выплаты несколько лет назад, то стоимость балла может отличаться от актуальной, добавил парламентарий.</w:t>
      </w:r>
    </w:p>
    <w:p w14:paraId="57BEC838" w14:textId="77777777" w:rsidR="001F42F5" w:rsidRPr="001267A7" w:rsidRDefault="001F42F5" w:rsidP="001F42F5">
      <w:r w:rsidRPr="001267A7">
        <w:t>«Сведения о стаже и взносах поступают от работодателей напрямую в Социальный фонд России, то есть по этому вопросу дополнительных заявлений, справок или визитов в ведомства от работающего пенсионера не требуется. В августе 2025-го перерасчёт производится по данным отчётности за прошлый, 2024-й год», - заключил собеседник RT.</w:t>
      </w:r>
    </w:p>
    <w:p w14:paraId="4D13FBD6" w14:textId="77777777" w:rsidR="001F42F5" w:rsidRPr="001267A7" w:rsidRDefault="001F42F5" w:rsidP="001F42F5">
      <w:r w:rsidRPr="001267A7">
        <w:t>Ранее управляющий партнёр компании «Русяев и партнёры» юрист Илья Русяев рассказал, кто в России может остаться без пенсии.</w:t>
      </w:r>
    </w:p>
    <w:p w14:paraId="12B12560" w14:textId="77777777" w:rsidR="001F42F5" w:rsidRPr="001267A7" w:rsidRDefault="001F42F5" w:rsidP="001F42F5">
      <w:hyperlink r:id="rId24" w:history="1">
        <w:r w:rsidRPr="001267A7">
          <w:rPr>
            <w:rStyle w:val="a3"/>
          </w:rPr>
          <w:t>https://russian.rt.com/russia/news/1479892-pensiya-strahovaya-pensiya-pereraschyot?utm_source=rss&amp;utm_medium=rss&amp;utm_campaign=RSS</w:t>
        </w:r>
      </w:hyperlink>
      <w:r w:rsidRPr="001267A7">
        <w:t xml:space="preserve"> </w:t>
      </w:r>
    </w:p>
    <w:p w14:paraId="30F3852E" w14:textId="77777777" w:rsidR="00302175" w:rsidRPr="001267A7" w:rsidRDefault="00302175" w:rsidP="00302175">
      <w:pPr>
        <w:pStyle w:val="2"/>
      </w:pPr>
      <w:bookmarkStart w:id="81" w:name="_Toc198618881"/>
      <w:r w:rsidRPr="001267A7">
        <w:t>Лента.ру, 19.05.2025, Россиянам назвали ближайший срок повышения пенсии</w:t>
      </w:r>
      <w:bookmarkEnd w:id="81"/>
    </w:p>
    <w:p w14:paraId="0948FD1F" w14:textId="77777777" w:rsidR="00302175" w:rsidRPr="001267A7" w:rsidRDefault="00302175" w:rsidP="00593D6A">
      <w:pPr>
        <w:pStyle w:val="3"/>
      </w:pPr>
      <w:bookmarkStart w:id="82" w:name="_Toc198618882"/>
      <w:r w:rsidRPr="001267A7">
        <w:t>С 1 августа будет повышена пенсия работающим пенсионерам, сообщила член комитета Госдумы по труду, социальной политике и делам ветеранов Светлана Бессараб. Ближайший срок индексации выплаты она назвала в разговоре с «Лентой.ру».</w:t>
      </w:r>
      <w:bookmarkEnd w:id="82"/>
    </w:p>
    <w:p w14:paraId="502345B5" w14:textId="77777777" w:rsidR="00302175" w:rsidRPr="001267A7" w:rsidRDefault="00302175" w:rsidP="00302175">
      <w:r w:rsidRPr="001267A7">
        <w:t>«С 1 октября текущего года на 4,5 процента будут повышены пенсии военных пенсионеров, пенсионеров силовых структур. В текущем периоде с 1 августа будет повышена в очередной раз пенсия работающим пенсионерам на те баллы, которые они получили за предыдущий 2024 год. Пенсионеры могут получить до 3 баллов ИПК», — рассказала Бессараб.</w:t>
      </w:r>
    </w:p>
    <w:p w14:paraId="74361A7A" w14:textId="77777777" w:rsidR="00302175" w:rsidRPr="001267A7" w:rsidRDefault="00302175" w:rsidP="00302175">
      <w:r w:rsidRPr="001267A7">
        <w:lastRenderedPageBreak/>
        <w:t>Ранее декан факультета права НИУ ВШЭ Вадим Виноградов рассказал, что с 1 июня россиянам повысят пенсию при исполнении 80 лет. Кроме того, по его словам, выплата увеличится для тех, кому установят инвалидность первой группы.</w:t>
      </w:r>
    </w:p>
    <w:p w14:paraId="5AA29F79" w14:textId="77777777" w:rsidR="00302175" w:rsidRPr="001267A7" w:rsidRDefault="00302175" w:rsidP="00302175">
      <w:r w:rsidRPr="001267A7">
        <w:t>Виноградов отметил, что этим категориям россиян начислят двойную фиксированную выплату к страховой пенсии. Ежемесячная прибавка для них составит 8 728 рублей 73 копейки, а надбавка за уход за пенсионерами — 1 314 рублей. Специалист уточнил, что общая сумма увеличения при условии оформления ухода за пенсионером составит 10 042 рубля 73 копейки ежемесячно.</w:t>
      </w:r>
    </w:p>
    <w:p w14:paraId="2BCCC731" w14:textId="77777777" w:rsidR="00302175" w:rsidRPr="001267A7" w:rsidRDefault="00302175" w:rsidP="00302175">
      <w:hyperlink r:id="rId25" w:history="1">
        <w:r w:rsidRPr="001267A7">
          <w:rPr>
            <w:rStyle w:val="a3"/>
          </w:rPr>
          <w:t>https://lenta.ru/news/2025/05/19/srok-povysheniya-pensiy/</w:t>
        </w:r>
      </w:hyperlink>
      <w:r w:rsidRPr="001267A7">
        <w:t xml:space="preserve"> </w:t>
      </w:r>
    </w:p>
    <w:p w14:paraId="6A025B4B" w14:textId="77777777" w:rsidR="00302175" w:rsidRPr="001267A7" w:rsidRDefault="00302175" w:rsidP="00302175">
      <w:pPr>
        <w:pStyle w:val="2"/>
      </w:pPr>
      <w:bookmarkStart w:id="83" w:name="_Toc198618883"/>
      <w:r w:rsidRPr="001267A7">
        <w:t>Гарант.ру, 19.05.2025, Работающим пенсионерам повысят страховые выплаты с 1 августа</w:t>
      </w:r>
      <w:bookmarkEnd w:id="83"/>
    </w:p>
    <w:p w14:paraId="77754ACC" w14:textId="77777777" w:rsidR="00302175" w:rsidRPr="001267A7" w:rsidRDefault="00302175" w:rsidP="00593D6A">
      <w:pPr>
        <w:pStyle w:val="3"/>
      </w:pPr>
      <w:bookmarkStart w:id="84" w:name="_Toc198618884"/>
      <w:r w:rsidRPr="001267A7">
        <w:t>Перерасчет размера пенсии по старости проводят ежегодно на основании данных индивидуального (персонифицированного) учета в системах обязательного пенсионного и социального страхования. Повышение связано с увеличением суммы индивидуальных пенсионных коэффициентов исходя из тех страховых взносов, которые не были учтены при определении величины ИПК в момент назначения или предыдущего перерасчета пенсии (ч. 4-5 ст. 19 Федерального закона от 28 декабря 2013 г. № 400-ФЗ "О страховых пенсиях").</w:t>
      </w:r>
      <w:bookmarkEnd w:id="84"/>
    </w:p>
    <w:p w14:paraId="69C36C4B" w14:textId="77777777" w:rsidR="00302175" w:rsidRPr="001267A7" w:rsidRDefault="00302175" w:rsidP="00302175">
      <w:r w:rsidRPr="001267A7">
        <w:t>В расчете учитываются:</w:t>
      </w:r>
    </w:p>
    <w:p w14:paraId="091E6093" w14:textId="77777777" w:rsidR="00302175" w:rsidRPr="001267A7" w:rsidRDefault="00302175" w:rsidP="00302175">
      <w:r w:rsidRPr="001267A7">
        <w:t xml:space="preserve">    установленный размер доли страховой пенсии по старости по состоянию на 31 июля года, в котором производится перерасчет;</w:t>
      </w:r>
    </w:p>
    <w:p w14:paraId="6D6BAD62" w14:textId="77777777" w:rsidR="00302175" w:rsidRPr="001267A7" w:rsidRDefault="00302175" w:rsidP="00302175">
      <w:r w:rsidRPr="001267A7">
        <w:t xml:space="preserve">    индивидуальный пенсионный коэффициент, учтенный по состоянию на 1 января соответствующего года;</w:t>
      </w:r>
    </w:p>
    <w:p w14:paraId="56E77B77" w14:textId="77777777" w:rsidR="00302175" w:rsidRPr="001267A7" w:rsidRDefault="00302175" w:rsidP="00302175">
      <w:r w:rsidRPr="001267A7">
        <w:t xml:space="preserve">    стоимость одного пенсионного коэффициента на день перерасчета.</w:t>
      </w:r>
    </w:p>
    <w:p w14:paraId="09786F9B" w14:textId="77777777" w:rsidR="00302175" w:rsidRPr="001267A7" w:rsidRDefault="00302175" w:rsidP="00302175">
      <w:r w:rsidRPr="001267A7">
        <w:t>При этом максимальное значение индивидуального пенсионного коэффициента при перерасчете не может быть больше трех. Такое ограничение действует с 2023 года. Напомним, ранее размер коэффициента был дифференцированным и зависел от того, формируются ли пенсионные накопления за счет страховых взносов на ОПС или нет.</w:t>
      </w:r>
    </w:p>
    <w:p w14:paraId="6C5E4BF2" w14:textId="77777777" w:rsidR="00302175" w:rsidRPr="001267A7" w:rsidRDefault="00302175" w:rsidP="00302175">
      <w:r w:rsidRPr="001267A7">
        <w:t>Обращаться в СФР за перерасчетом пенсии не нужно. Его проводят автоматически в беззаявительном порядке с 1 августа каждого года.</w:t>
      </w:r>
    </w:p>
    <w:p w14:paraId="78947D6B" w14:textId="77777777" w:rsidR="00302175" w:rsidRPr="001267A7" w:rsidRDefault="00302175" w:rsidP="00302175">
      <w:hyperlink r:id="rId26" w:history="1">
        <w:r w:rsidRPr="001267A7">
          <w:rPr>
            <w:rStyle w:val="a3"/>
          </w:rPr>
          <w:t>https://www.garant.ru/news/1816753/</w:t>
        </w:r>
      </w:hyperlink>
    </w:p>
    <w:p w14:paraId="739C7179" w14:textId="77777777" w:rsidR="0071274D" w:rsidRPr="001267A7" w:rsidRDefault="0071274D" w:rsidP="0071274D">
      <w:pPr>
        <w:pStyle w:val="2"/>
      </w:pPr>
      <w:bookmarkStart w:id="85" w:name="_Toc198618885"/>
      <w:r w:rsidRPr="001267A7">
        <w:lastRenderedPageBreak/>
        <w:t>Газета.ру, 19.05.2025, Сенатор назвала реальную мотивацию работающих пенсионеров</w:t>
      </w:r>
      <w:bookmarkEnd w:id="85"/>
      <w:r w:rsidRPr="001267A7">
        <w:t xml:space="preserve"> </w:t>
      </w:r>
    </w:p>
    <w:p w14:paraId="53BA15AF" w14:textId="77777777" w:rsidR="0071274D" w:rsidRPr="001267A7" w:rsidRDefault="0071274D" w:rsidP="00593D6A">
      <w:pPr>
        <w:pStyle w:val="3"/>
      </w:pPr>
      <w:bookmarkStart w:id="86" w:name="_Toc198618886"/>
      <w:r w:rsidRPr="001267A7">
        <w:t>Пенсионеры в России работают из-за финансовой необходимости, а не для самореализации. Об этом «Газете.Ru» заявила сенатор, член центрального совета партии «Справедливая Россия — За правду» Ольга Епифанова.</w:t>
      </w:r>
      <w:bookmarkEnd w:id="86"/>
    </w:p>
    <w:p w14:paraId="24DEB59D" w14:textId="77777777" w:rsidR="0071274D" w:rsidRPr="001267A7" w:rsidRDefault="0071274D" w:rsidP="0071274D">
      <w:r w:rsidRPr="001267A7">
        <w:t>«В России ценится вклад и желание граждан старшего поколения оставаться в строю, делиться опытом и быть активными членами общества. Однако, если мы посмотрим на данные социологических исследований и опросов, проводимых в последние годы, то картина становится более четкой. Хотя точные цифры могут варьироваться в зависимости от методики подсчета, различные источники указывают, что для значительного большинства работающих пенсионеров — по разным оценкам, от 60 до 80% — ключевым фактором продолжения трудовой деятельности является именно финансовая необходимость, а не только желание самореализации», — отметила сенатор.</w:t>
      </w:r>
    </w:p>
    <w:p w14:paraId="0EEA161D" w14:textId="77777777" w:rsidR="0071274D" w:rsidRPr="001267A7" w:rsidRDefault="0071274D" w:rsidP="0071274D">
      <w:r w:rsidRPr="001267A7">
        <w:t>Она назвала эту статистику серьезным сигналом — цифры говорят о том, что уровень пенсионного обеспечения, несмотря на все усилия по индексации, для многих россиян все еще недостаточен для покрытия базовых потребностей и поддержания привычного уровня жизни, особенно в условиях роста цен.</w:t>
      </w:r>
    </w:p>
    <w:p w14:paraId="455F145A" w14:textId="77777777" w:rsidR="0071274D" w:rsidRPr="001267A7" w:rsidRDefault="0071274D" w:rsidP="0071274D">
      <w:r w:rsidRPr="001267A7">
        <w:t>Говоря о стимулировании трудовой активности пожилых, сенатор призвала не забывать о первопричине: для подавляющего числа пенсионеров работа — это, прежде всего, «способ свести концы с концами», помочь себе и своим семьям. По мнению Епифановой, задача властей — не только поддерживать их стремление трудиться, но и создавать такие социально-экономические условия, при которых пенсия действительно станет синонимом заслуженного и обеспеченного отдыха, а не периодом борьбы за выживание.</w:t>
      </w:r>
    </w:p>
    <w:p w14:paraId="6B9C94EA" w14:textId="77777777" w:rsidR="0071274D" w:rsidRPr="001267A7" w:rsidRDefault="0071274D" w:rsidP="0071274D">
      <w:r w:rsidRPr="001267A7">
        <w:t>Средняя пенсия россиян с февраля 2025 года составляет 25 тыс. рублей.</w:t>
      </w:r>
    </w:p>
    <w:p w14:paraId="7109B523" w14:textId="77777777" w:rsidR="0071274D" w:rsidRPr="001267A7" w:rsidRDefault="0071274D" w:rsidP="0071274D">
      <w:r w:rsidRPr="001267A7">
        <w:t>Ранее россиянам рассказали, как получать две пенсии.</w:t>
      </w:r>
    </w:p>
    <w:p w14:paraId="1C7701B8" w14:textId="77777777" w:rsidR="0071274D" w:rsidRPr="001267A7" w:rsidRDefault="0071274D" w:rsidP="0071274D">
      <w:hyperlink r:id="rId27" w:history="1">
        <w:r w:rsidRPr="001267A7">
          <w:rPr>
            <w:rStyle w:val="a3"/>
          </w:rPr>
          <w:t>https://www.gazeta.ru/business/news/2025/05/19/25801724.shtml</w:t>
        </w:r>
      </w:hyperlink>
      <w:r w:rsidRPr="001267A7">
        <w:t xml:space="preserve"> </w:t>
      </w:r>
    </w:p>
    <w:p w14:paraId="1C89A904" w14:textId="77777777" w:rsidR="0033575A" w:rsidRPr="001267A7" w:rsidRDefault="0033575A" w:rsidP="0033575A">
      <w:pPr>
        <w:pStyle w:val="2"/>
      </w:pPr>
      <w:bookmarkStart w:id="87" w:name="_Toc198618887"/>
      <w:r w:rsidRPr="001267A7">
        <w:t>Газета.ру, 19.05.2025, Россиянам рассказали, как накопить с пенсии</w:t>
      </w:r>
      <w:bookmarkEnd w:id="87"/>
    </w:p>
    <w:p w14:paraId="6825C8A1" w14:textId="77777777" w:rsidR="0033575A" w:rsidRPr="001267A7" w:rsidRDefault="0033575A" w:rsidP="00593D6A">
      <w:pPr>
        <w:pStyle w:val="3"/>
      </w:pPr>
      <w:bookmarkStart w:id="88" w:name="_Toc198618888"/>
      <w:r w:rsidRPr="001267A7">
        <w:t xml:space="preserve">Россияне могут заработать до 32 тыс. рублей в год, откладывая по 10% от пенсии в месяц. Об этом «Газете.Ru» рассказала кандидат экономических наук, </w:t>
      </w:r>
      <w:r w:rsidRPr="00593D6A">
        <w:t>инвестор</w:t>
      </w:r>
      <w:r w:rsidRPr="001267A7">
        <w:t>, педагог ИМЭС Ирина Ахмадуллина.</w:t>
      </w:r>
      <w:bookmarkEnd w:id="88"/>
    </w:p>
    <w:p w14:paraId="0C8EC1F3" w14:textId="77777777" w:rsidR="0033575A" w:rsidRPr="001267A7" w:rsidRDefault="0033575A" w:rsidP="0033575A">
      <w:r w:rsidRPr="001267A7">
        <w:t>«Если придерживаться простых шагов, то в конце года можно получить тринадцатую пенсию. Главный принцип в накоплении - это регулярность. Даже при ограниченном доходе важно откладывать от 5% до 10% от пенсии каждый месяц - это 1250-2500 рублей в месяц или 16 150 рублей и 32 300 рублей в год. Лучше делать это сразу после получения пенсии, а не по остаточному принципу. Откладывать можно как на банковский депозит с пополнением, продлевая его каждый раз в конце срока, так и на накопительный счет. Ставки по накопительным счетам в ряде банков достигают 16% годовых», - отметила Ахмадуллина.</w:t>
      </w:r>
    </w:p>
    <w:p w14:paraId="5BB34B9C" w14:textId="77777777" w:rsidR="0033575A" w:rsidRPr="001267A7" w:rsidRDefault="0033575A" w:rsidP="0033575A">
      <w:r w:rsidRPr="001267A7">
        <w:lastRenderedPageBreak/>
        <w:t>До этого кандидат экономических наук, доцент Финансового университета при правительстве РФ Игорь Балынин заявил, что россияне со средней зарплатой в 102 тыс. рублей могут рассчитывать на пенсию до 31,6 тыс. рублей.</w:t>
      </w:r>
    </w:p>
    <w:p w14:paraId="086892B1" w14:textId="77777777" w:rsidR="0033575A" w:rsidRPr="001267A7" w:rsidRDefault="0033575A" w:rsidP="0033575A">
      <w:r w:rsidRPr="001267A7">
        <w:t>Ранее россиянам рассказали, как быстро заработать 100 тысяч рублей.</w:t>
      </w:r>
    </w:p>
    <w:p w14:paraId="2ED03CCF" w14:textId="77777777" w:rsidR="0033575A" w:rsidRPr="001267A7" w:rsidRDefault="0033575A" w:rsidP="0033575A">
      <w:hyperlink r:id="rId28" w:history="1">
        <w:r w:rsidRPr="001267A7">
          <w:rPr>
            <w:rStyle w:val="a3"/>
          </w:rPr>
          <w:t>https://www.gazeta.ru/business/news/2025/05/19/25802456.shtml</w:t>
        </w:r>
      </w:hyperlink>
      <w:r w:rsidRPr="001267A7">
        <w:t xml:space="preserve"> </w:t>
      </w:r>
    </w:p>
    <w:p w14:paraId="05B9A6FF" w14:textId="77777777" w:rsidR="00407D28" w:rsidRPr="001267A7" w:rsidRDefault="00407D28" w:rsidP="00407D28">
      <w:pPr>
        <w:pStyle w:val="2"/>
      </w:pPr>
      <w:bookmarkStart w:id="89" w:name="_Toc198618889"/>
      <w:r w:rsidRPr="001267A7">
        <w:t>Конкурент, 19.05.2025, В Госдуме разработали новые нормы начисления прибавок к пенсии</w:t>
      </w:r>
      <w:bookmarkEnd w:id="89"/>
    </w:p>
    <w:p w14:paraId="3E48374A" w14:textId="77777777" w:rsidR="00407D28" w:rsidRPr="001267A7" w:rsidRDefault="00407D28" w:rsidP="00593D6A">
      <w:pPr>
        <w:pStyle w:val="3"/>
      </w:pPr>
      <w:bookmarkStart w:id="90" w:name="_Toc198618890"/>
      <w:r w:rsidRPr="001267A7">
        <w:t>Изменения, которые может ввести новый проект закона, должны коснуться надбавок для тех пожилых граждан, у кого на иждивении есть нетрудоспособные члены семьи. Об инициативе в своем ТГ-канале рассказал глава комитета Государственной думы по труду, социальной политике и делам ветеранов Ярослав Нилов.</w:t>
      </w:r>
      <w:bookmarkEnd w:id="90"/>
    </w:p>
    <w:p w14:paraId="737DE3A0" w14:textId="77777777" w:rsidR="00407D28" w:rsidRPr="001267A7" w:rsidRDefault="00407D28" w:rsidP="00407D28">
      <w:r w:rsidRPr="001267A7">
        <w:t>Сейчас пенсионеры, имеющие на своем иждивении членов семьи, могут получить прибавку лишь за троих таких граждан. Согласно инициативе депутата, такие ограничения необходимо отменить.</w:t>
      </w:r>
    </w:p>
    <w:p w14:paraId="3F9277D9" w14:textId="77777777" w:rsidR="00407D28" w:rsidRPr="001267A7" w:rsidRDefault="00407D28" w:rsidP="00407D28">
      <w:r w:rsidRPr="001267A7">
        <w:t>Нилов полагает, что прибавок к пенсии должно быть столько, сколько иждивенцев вынужден содержать пожилой гражданин.</w:t>
      </w:r>
    </w:p>
    <w:p w14:paraId="710C8A15" w14:textId="77777777" w:rsidR="00407D28" w:rsidRPr="001267A7" w:rsidRDefault="00407D28" w:rsidP="00407D28">
      <w:r w:rsidRPr="001267A7">
        <w:t>Как указано в пояснительной записке к законопроекту, новые изменения позволят улучшить материальное положение семей. В частности, это затронет многодетные семьи.</w:t>
      </w:r>
    </w:p>
    <w:p w14:paraId="091A480F" w14:textId="77777777" w:rsidR="00407D28" w:rsidRPr="001267A7" w:rsidRDefault="00407D28" w:rsidP="00407D28">
      <w:hyperlink r:id="rId29" w:history="1">
        <w:r w:rsidRPr="001267A7">
          <w:rPr>
            <w:rStyle w:val="a3"/>
          </w:rPr>
          <w:t>https://konkurent.ru/article/77404</w:t>
        </w:r>
      </w:hyperlink>
      <w:r w:rsidRPr="001267A7">
        <w:t xml:space="preserve"> </w:t>
      </w:r>
    </w:p>
    <w:p w14:paraId="504B27D0" w14:textId="77777777" w:rsidR="00407D28" w:rsidRPr="001267A7" w:rsidRDefault="00407D28" w:rsidP="00407D28">
      <w:pPr>
        <w:pStyle w:val="2"/>
      </w:pPr>
      <w:bookmarkStart w:id="91" w:name="_Toc198618891"/>
      <w:r w:rsidRPr="001267A7">
        <w:t>Конкурент, 19.05.2025, В СФР раскрыли, сколько сейчас получают пенсионеры</w:t>
      </w:r>
      <w:bookmarkEnd w:id="91"/>
      <w:r w:rsidRPr="001267A7">
        <w:t xml:space="preserve"> </w:t>
      </w:r>
    </w:p>
    <w:p w14:paraId="6E433186" w14:textId="77777777" w:rsidR="00407D28" w:rsidRPr="001267A7" w:rsidRDefault="00407D28" w:rsidP="00593D6A">
      <w:pPr>
        <w:pStyle w:val="3"/>
      </w:pPr>
      <w:bookmarkStart w:id="92" w:name="_Toc198618892"/>
      <w:r w:rsidRPr="001267A7">
        <w:t>В СФР огласили данные, актуальные на 1 января 2025 г. Россиянам рассказали, сколько получают работающие, неработающие пенсионеры, инвалиды и те, кто потерял кормильца.</w:t>
      </w:r>
      <w:bookmarkEnd w:id="92"/>
    </w:p>
    <w:p w14:paraId="22CFCF27" w14:textId="77777777" w:rsidR="00407D28" w:rsidRPr="001267A7" w:rsidRDefault="00407D28" w:rsidP="00407D28">
      <w:r w:rsidRPr="001267A7">
        <w:t>Так, согласно данным ведомства, сегодня работающие пожилые россияне в среднем получат от государства по 24 тыс. 92 руб. Неработающие пенсионеры получают больше – 24 тыс. 846 руб.</w:t>
      </w:r>
    </w:p>
    <w:p w14:paraId="194ACD2F" w14:textId="77777777" w:rsidR="00407D28" w:rsidRPr="001267A7" w:rsidRDefault="00407D28" w:rsidP="00407D28">
      <w:r w:rsidRPr="001267A7">
        <w:t>Страховая пенсия по инвалидности сегодня составляет 15,5 тыс. руб., а тем, кто потерял кормильца, СФР помогает выплатами в размере 16,7 тыс. руб.</w:t>
      </w:r>
    </w:p>
    <w:p w14:paraId="65AE3886" w14:textId="77777777" w:rsidR="00407D28" w:rsidRPr="001267A7" w:rsidRDefault="00407D28" w:rsidP="00407D28">
      <w:hyperlink r:id="rId30" w:history="1">
        <w:r w:rsidRPr="001267A7">
          <w:rPr>
            <w:rStyle w:val="a3"/>
          </w:rPr>
          <w:t>https://konkurent.ru/article/77414</w:t>
        </w:r>
      </w:hyperlink>
      <w:r w:rsidRPr="001267A7">
        <w:t xml:space="preserve"> </w:t>
      </w:r>
    </w:p>
    <w:p w14:paraId="67BB4C36" w14:textId="77777777" w:rsidR="0033575A" w:rsidRPr="001267A7" w:rsidRDefault="0033575A" w:rsidP="0033575A">
      <w:pPr>
        <w:pStyle w:val="2"/>
      </w:pPr>
      <w:bookmarkStart w:id="93" w:name="_Toc198618893"/>
      <w:r w:rsidRPr="001267A7">
        <w:lastRenderedPageBreak/>
        <w:t>Общественная служба новостей, 19.05.2025, С 1 июня 2025 года некоторых россиян ждет повышение пенсий</w:t>
      </w:r>
      <w:bookmarkEnd w:id="93"/>
    </w:p>
    <w:p w14:paraId="1767A42A" w14:textId="77777777" w:rsidR="0033575A" w:rsidRPr="001267A7" w:rsidRDefault="0033575A" w:rsidP="00593D6A">
      <w:pPr>
        <w:pStyle w:val="3"/>
      </w:pPr>
      <w:bookmarkStart w:id="94" w:name="_Toc198618894"/>
      <w:r w:rsidRPr="001267A7">
        <w:t>С 1 июня 2025 года ряд категорий россиян ждет повышение пенсий. Общественная служба новостей разобралась, кого коснется повышение выплат.</w:t>
      </w:r>
      <w:bookmarkEnd w:id="94"/>
    </w:p>
    <w:p w14:paraId="7E118BFD" w14:textId="77777777" w:rsidR="0033575A" w:rsidRPr="001267A7" w:rsidRDefault="0033575A" w:rsidP="0033575A">
      <w:r w:rsidRPr="001267A7">
        <w:t>Кому повысят пенсии</w:t>
      </w:r>
    </w:p>
    <w:p w14:paraId="0234539D" w14:textId="77777777" w:rsidR="0033575A" w:rsidRPr="001267A7" w:rsidRDefault="0033575A" w:rsidP="0033575A">
      <w:r w:rsidRPr="001267A7">
        <w:t>•</w:t>
      </w:r>
      <w:r w:rsidRPr="001267A7">
        <w:tab/>
        <w:t>Увеличение пенсионных выплат коснется прежде всего граждан, достигших 80-летнего возраста в мае 2025 года.</w:t>
      </w:r>
    </w:p>
    <w:p w14:paraId="2C785453" w14:textId="77777777" w:rsidR="0033575A" w:rsidRPr="001267A7" w:rsidRDefault="0033575A" w:rsidP="0033575A">
      <w:r w:rsidRPr="001267A7">
        <w:t>•</w:t>
      </w:r>
      <w:r w:rsidRPr="001267A7">
        <w:tab/>
        <w:t>Надбавку также получат инвалиды первой группы, инвалидность которых была установлена, начиная с мая 2025 года.</w:t>
      </w:r>
    </w:p>
    <w:p w14:paraId="1F47C707" w14:textId="77777777" w:rsidR="0033575A" w:rsidRPr="001267A7" w:rsidRDefault="0033575A" w:rsidP="0033575A">
      <w:r w:rsidRPr="001267A7">
        <w:t>•</w:t>
      </w:r>
      <w:r w:rsidRPr="001267A7">
        <w:tab/>
        <w:t>Также увеличена надбавка на уход за пенсионерами, а работающие пенсионеры, окончательно вышедшие на заслуженный отдых, смогут получить повышенную пенсию.</w:t>
      </w:r>
    </w:p>
    <w:p w14:paraId="1FAB1DFA" w14:textId="77777777" w:rsidR="0033575A" w:rsidRPr="001267A7" w:rsidRDefault="0033575A" w:rsidP="0033575A">
      <w:r w:rsidRPr="001267A7">
        <w:t>Какой будет прибавка к пенсии</w:t>
      </w:r>
    </w:p>
    <w:p w14:paraId="02A9CFC6" w14:textId="77777777" w:rsidR="0033575A" w:rsidRPr="001267A7" w:rsidRDefault="0033575A" w:rsidP="0033575A">
      <w:r w:rsidRPr="001267A7">
        <w:t>Фото: сайт министерства социального развития Московской области</w:t>
      </w:r>
    </w:p>
    <w:p w14:paraId="47948B23" w14:textId="77777777" w:rsidR="0033575A" w:rsidRPr="001267A7" w:rsidRDefault="0033575A" w:rsidP="0033575A">
      <w:r w:rsidRPr="001267A7">
        <w:t>Гражданам, достигшим возраста 80 лет, полагается двойная фиксированная выплата к страховой пенсии. Таким образом, размер ежемесячной прибавки составит 8728 рублей 73 копейки.</w:t>
      </w:r>
    </w:p>
    <w:p w14:paraId="28AA9E00" w14:textId="77777777" w:rsidR="0033575A" w:rsidRPr="001267A7" w:rsidRDefault="0033575A" w:rsidP="0033575A">
      <w:r w:rsidRPr="001267A7">
        <w:t>Надбавка за уход за пенсионерами составит 1314 рублей, а общая сумма в случае оформления ухода за пенсионером будет составлять 10 042 рубля 73 копейки в месяц.</w:t>
      </w:r>
    </w:p>
    <w:p w14:paraId="347C4024" w14:textId="77777777" w:rsidR="0033575A" w:rsidRPr="001267A7" w:rsidRDefault="0033575A" w:rsidP="0033575A">
      <w:r w:rsidRPr="001267A7">
        <w:t>Для работающих пенсионеров, которые уволились в мае, надбавка будет применяться в соответствии с коэффициентом индексации, которую «пропустил» работающий пенсионер, ныне получивший статус неработающего.</w:t>
      </w:r>
    </w:p>
    <w:p w14:paraId="1DB56C43" w14:textId="77777777" w:rsidR="0033575A" w:rsidRPr="001267A7" w:rsidRDefault="0033575A" w:rsidP="0033575A">
      <w:r w:rsidRPr="001267A7">
        <w:t>Как оформить прибавку к пенсии</w:t>
      </w:r>
    </w:p>
    <w:p w14:paraId="54070F3F" w14:textId="77777777" w:rsidR="0033575A" w:rsidRPr="001267A7" w:rsidRDefault="0033575A" w:rsidP="0033575A">
      <w:r w:rsidRPr="001267A7">
        <w:t>Чтобы получить прибавку к пенсии, достаточно соответствовать указанным критериям: достижение возраста 80 лет в мае 2025 года либо установление инвалидности первой группы в том же месяце.</w:t>
      </w:r>
    </w:p>
    <w:p w14:paraId="2DE0B39D" w14:textId="77777777" w:rsidR="0033575A" w:rsidRPr="001267A7" w:rsidRDefault="0033575A" w:rsidP="0033575A">
      <w:r w:rsidRPr="001267A7">
        <w:t>Перерасчет выплат будет произведен автоматически, поэтому ни с какими заявлениями или документами никуда обращаться не придется.</w:t>
      </w:r>
    </w:p>
    <w:p w14:paraId="20574BB4" w14:textId="77777777" w:rsidR="0033575A" w:rsidRPr="001267A7" w:rsidRDefault="0033575A" w:rsidP="0033575A">
      <w:r w:rsidRPr="001267A7">
        <w:t>Какие ограничения действуют при повышении пенсии</w:t>
      </w:r>
    </w:p>
    <w:p w14:paraId="4FFFFEAC" w14:textId="77777777" w:rsidR="0033575A" w:rsidRPr="001267A7" w:rsidRDefault="0033575A" w:rsidP="0033575A">
      <w:r w:rsidRPr="001267A7">
        <w:t>Нужно учитывать, что повышение пенсионных выплат может осуществляться лишь по одному основанию: либо достижение возраста 80 лет, либо установление или изменение группы инвалидности на первую. В случае когда наличествуют оба основания, при перерасчете пенсионной выплаты будет учитываться лишь одно из них - то, которое наступило раньше.</w:t>
      </w:r>
    </w:p>
    <w:p w14:paraId="2AD9F4DC" w14:textId="77777777" w:rsidR="0033575A" w:rsidRPr="001267A7" w:rsidRDefault="0033575A" w:rsidP="0033575A">
      <w:r w:rsidRPr="001267A7">
        <w:t>Например, человек в мае 2025 года получил группу инвалидности, а через неделю в том же месяце ему исполнилось 80 лет. В этом случае основанием будет установление группы инвалидности, а не достижение возраста.</w:t>
      </w:r>
    </w:p>
    <w:p w14:paraId="069376BD" w14:textId="77777777" w:rsidR="0033575A" w:rsidRPr="001267A7" w:rsidRDefault="0033575A" w:rsidP="0033575A">
      <w:r w:rsidRPr="001267A7">
        <w:t>Что делать, если надбавка к пенсии не пришла</w:t>
      </w:r>
    </w:p>
    <w:p w14:paraId="623EE9D4" w14:textId="77777777" w:rsidR="0033575A" w:rsidRPr="001267A7" w:rsidRDefault="0033575A" w:rsidP="0033575A">
      <w:r w:rsidRPr="001267A7">
        <w:lastRenderedPageBreak/>
        <w:t>Если все критерии получения надбавки соблюдены, а перерасчет не был произведен, сумма надбавки оказалась меньше или вовсе не поступила на счет пенсионера, то следует обратиться на горячую линию Социального фонда России (СФР) по телефону или лично в один из отделов соцзащиты.</w:t>
      </w:r>
    </w:p>
    <w:p w14:paraId="229D5A8F" w14:textId="77777777" w:rsidR="0033575A" w:rsidRPr="001267A7" w:rsidRDefault="0033575A" w:rsidP="0033575A">
      <w:r w:rsidRPr="001267A7">
        <w:t>Также можно получить информацию через портал «Госуслуги». Прежде всего следует заказать справку о выплатах Социального фонда России на текущее число. Справка поступит в личный кабинет пользователя в течение 24 часов с момента обращения.</w:t>
      </w:r>
    </w:p>
    <w:p w14:paraId="09A7F30C" w14:textId="77777777" w:rsidR="0033575A" w:rsidRPr="001267A7" w:rsidRDefault="0033575A" w:rsidP="0033575A">
      <w:r w:rsidRPr="001267A7">
        <w:t>Не лишним будет получить информацию о наличии исполнительного производства, чтобы быть уверенными, что поступившие денежные средства не были списаны со счета в связи с задолженностями или по другим причинам.</w:t>
      </w:r>
    </w:p>
    <w:p w14:paraId="0B23D7B3" w14:textId="77777777" w:rsidR="0033575A" w:rsidRPr="001267A7" w:rsidRDefault="0033575A" w:rsidP="0033575A">
      <w:r w:rsidRPr="001267A7">
        <w:t>В каких случаях пенсия может стать меньше</w:t>
      </w:r>
    </w:p>
    <w:p w14:paraId="79169450" w14:textId="77777777" w:rsidR="0033575A" w:rsidRPr="001267A7" w:rsidRDefault="0033575A" w:rsidP="0033575A">
      <w:r w:rsidRPr="001267A7">
        <w:t>Размер пенсии может сократиться в случае переезда в другой регион, так как пенсионные выплаты зависят от районного коэффициента. Чем ниже коэффициент, тем ниже пенсионные выплаты.</w:t>
      </w:r>
    </w:p>
    <w:p w14:paraId="7244BA4B" w14:textId="77777777" w:rsidR="0033575A" w:rsidRPr="001267A7" w:rsidRDefault="0033575A" w:rsidP="0033575A">
      <w:r w:rsidRPr="001267A7">
        <w:t>Кто выйдет на пенсию в июне 2025 года</w:t>
      </w:r>
    </w:p>
    <w:p w14:paraId="51ABCB8D" w14:textId="77777777" w:rsidR="0033575A" w:rsidRPr="001267A7" w:rsidRDefault="0033575A" w:rsidP="0033575A">
      <w:r w:rsidRPr="001267A7">
        <w:t>Напомним, что в 2025 году мы все еще находимся в переходном периоде, связанном с увеличением пенсионного возраста: он будет продолжаться с 2019 по 2028 год. При этом в 2025 году уже не действует специальная льгота, согласно которой можно было стать пенсионером за полгода до наступления нового пенсионного возраста.</w:t>
      </w:r>
    </w:p>
    <w:p w14:paraId="46ACC740" w14:textId="77777777" w:rsidR="0033575A" w:rsidRPr="001267A7" w:rsidRDefault="0033575A" w:rsidP="0033575A">
      <w:r w:rsidRPr="001267A7">
        <w:t>Мужчинам, родившимся в 1962 году, и женщинам 1967 года рождения страховая пенсия по старости будет оформлена уже в 2026 году, когда они достигнут возраста 64 и 59 лет соответственно.</w:t>
      </w:r>
    </w:p>
    <w:p w14:paraId="6D64B2B8" w14:textId="77777777" w:rsidR="0033575A" w:rsidRPr="001267A7" w:rsidRDefault="0033575A" w:rsidP="0033575A">
      <w:r w:rsidRPr="001267A7">
        <w:t>Страховую пенсию смогут оформить граждане, которые достигли пенсионного возраста до 2025 года, однако по каким-то причинам пенсия им назначена не была (не подали заявление, не хватило пенсионных баллов или рабочего стажа), но в этом году эти причины исчезли.</w:t>
      </w:r>
    </w:p>
    <w:p w14:paraId="4B294031" w14:textId="77777777" w:rsidR="0033575A" w:rsidRPr="001267A7" w:rsidRDefault="0033575A" w:rsidP="0033575A">
      <w:r w:rsidRPr="001267A7">
        <w:t>Кто досрочно выйдет на пенсию в июне 2025 года</w:t>
      </w:r>
    </w:p>
    <w:p w14:paraId="089081AE" w14:textId="77777777" w:rsidR="0033575A" w:rsidRPr="001267A7" w:rsidRDefault="0033575A" w:rsidP="0033575A">
      <w:r w:rsidRPr="001267A7">
        <w:t>Досрочно выйти на пенсию смогут лишь отдельные категории граждан:</w:t>
      </w:r>
    </w:p>
    <w:p w14:paraId="2ACB9693" w14:textId="77777777" w:rsidR="0033575A" w:rsidRPr="001267A7" w:rsidRDefault="0033575A" w:rsidP="0033575A">
      <w:r w:rsidRPr="001267A7">
        <w:t>1. Граждане со стажем не менее 42 лет для мужчин и 37 лет для женщин, если до достижения пенсионного возраста им осталось не более двух лет. По этому основанию смогут выйти на пенсию мужчины 1962 года рождения (с 63 лет) и женщины 1967 года рождения (с 58 лет).</w:t>
      </w:r>
    </w:p>
    <w:p w14:paraId="5F5C5F3D" w14:textId="77777777" w:rsidR="0033575A" w:rsidRPr="001267A7" w:rsidRDefault="0033575A" w:rsidP="0033575A">
      <w:r w:rsidRPr="001267A7">
        <w:t>2. Безработные лица предпенсионного возраста, которые были уволены по сокращению, ликвидации компании или ИП, выступавших в роли работодателя. Важное условие в этом случае - состоять на учете в Центре занятости в качестве безработного и иметь общий трудовой стаж не менее 25 лет для мужчин и 20 лет для женщин. Таким образом, по этим основаниям на пенсию смогут выйти мужчины 1962 года рождения и женщины 1967 года рождения.</w:t>
      </w:r>
    </w:p>
    <w:p w14:paraId="75BE9F31" w14:textId="77777777" w:rsidR="0033575A" w:rsidRPr="001267A7" w:rsidRDefault="0033575A" w:rsidP="0033575A">
      <w:r w:rsidRPr="001267A7">
        <w:t xml:space="preserve">3. Женщины, воспитавшие трех и более детей до восьмилетнего возраста, при условии, что их страховой стаж составляет не менее 15 лет. Это женщины 1975 года рождения при достижении возраста 50 лет, если у них пятеро и больше детей, женщины 1969 года </w:t>
      </w:r>
      <w:r w:rsidRPr="001267A7">
        <w:lastRenderedPageBreak/>
        <w:t>рождения, если у них четверо детей, и мамы трех детей 1968 года рождения по достижении ими 57 лет.</w:t>
      </w:r>
    </w:p>
    <w:p w14:paraId="2CEE1A8E" w14:textId="77777777" w:rsidR="0033575A" w:rsidRPr="001267A7" w:rsidRDefault="0033575A" w:rsidP="0033575A">
      <w:r w:rsidRPr="001267A7">
        <w:t>4. Женщины, имеющие двух или более детей, при наличии трудового стажа 12 или более лет в районах Крайнего Севера или 17 лет стажа в приравненных местностях, по достижении возраста 50 лет.</w:t>
      </w:r>
    </w:p>
    <w:p w14:paraId="457D87E3" w14:textId="77777777" w:rsidR="0033575A" w:rsidRPr="001267A7" w:rsidRDefault="0033575A" w:rsidP="0033575A">
      <w:r w:rsidRPr="001267A7">
        <w:t>5. Родители ребенка-инвалида, воспитавшие его до восьмилетнего возраста. Однако в этом случае право на досрочную пенсию может получить лишь один из родителей: отец 1970 года рождения (с 55 лет) при условии трудового стажа не менее 20 лет или мать 1975 года рождения (с 50 лет) при стаже не менее 15 лет.</w:t>
      </w:r>
    </w:p>
    <w:p w14:paraId="7BD2E22F" w14:textId="77777777" w:rsidR="0033575A" w:rsidRPr="001267A7" w:rsidRDefault="0033575A" w:rsidP="0033575A">
      <w:r w:rsidRPr="001267A7">
        <w:t>6. Работники профессий, включенных в специальные списки. Например, работающие на вредных или опасных производствах, а также в тяжелых или особых условиях.</w:t>
      </w:r>
    </w:p>
    <w:p w14:paraId="643C134B" w14:textId="77777777" w:rsidR="0033575A" w:rsidRPr="001267A7" w:rsidRDefault="0033575A" w:rsidP="0033575A">
      <w:r w:rsidRPr="001267A7">
        <w:t>Стоит учитывать, что педагоги, медицинские работники, а также работники творческих профессий, также относящиеся ко льготным категориям, оформить досрочную пенсию не смогут. Это связано с тем, что с 2019 года пенсионные выплаты им полагаются лишь через несколько лет после выработки специального стажа (15, 25 и 30 лет в зависимости от категории).</w:t>
      </w:r>
    </w:p>
    <w:p w14:paraId="6FBD0593" w14:textId="77777777" w:rsidR="0033575A" w:rsidRPr="001267A7" w:rsidRDefault="0033575A" w:rsidP="0033575A">
      <w:hyperlink r:id="rId31" w:history="1">
        <w:r w:rsidRPr="001267A7">
          <w:rPr>
            <w:rStyle w:val="a3"/>
          </w:rPr>
          <w:t>https://www.osnmedia.ru/interesnoe/s-1-iyunya-2025-goda-nekotoryh-rossiyan-zhdet-povyshenie-pensij/</w:t>
        </w:r>
      </w:hyperlink>
      <w:r w:rsidRPr="001267A7">
        <w:t xml:space="preserve"> </w:t>
      </w:r>
    </w:p>
    <w:p w14:paraId="418BD6BB" w14:textId="77777777" w:rsidR="001F42F5" w:rsidRPr="001267A7" w:rsidRDefault="001F42F5" w:rsidP="001F42F5">
      <w:pPr>
        <w:pStyle w:val="2"/>
      </w:pPr>
      <w:bookmarkStart w:id="95" w:name="_Toc198618895"/>
      <w:r w:rsidRPr="001267A7">
        <w:t>Ридус, 19.05.2025, Экономист Кульбака: доплат к пенсии за всех иждивенцев не будет, хотя деньги есть</w:t>
      </w:r>
      <w:bookmarkEnd w:id="95"/>
    </w:p>
    <w:p w14:paraId="2CB9A75D" w14:textId="77777777" w:rsidR="001F42F5" w:rsidRPr="001267A7" w:rsidRDefault="001F42F5" w:rsidP="00593D6A">
      <w:pPr>
        <w:pStyle w:val="3"/>
      </w:pPr>
      <w:bookmarkStart w:id="96" w:name="_Toc198618896"/>
      <w:r w:rsidRPr="001267A7">
        <w:t>Экономист Николай Кульбака обсудил с «Ридусом» перспективы законопроекта депутата Государственной думы РФ Ярослава Нилова, который предложил отменить ограничения на число иждивенцев в семье при повышении пенсий.</w:t>
      </w:r>
      <w:bookmarkEnd w:id="96"/>
    </w:p>
    <w:p w14:paraId="6956760C" w14:textId="77777777" w:rsidR="001F42F5" w:rsidRPr="001267A7" w:rsidRDefault="001F42F5" w:rsidP="001F42F5">
      <w:r w:rsidRPr="001267A7">
        <w:t>Кульбака отметил, что пенсионеров с большим числом людей на иждивении в России не так много, чтобы принятие законопроекта Нилова вызвало «огромный объём дополнительных пенсий». С финансово-экономической точки зрения идея депутата вполне приемлема.</w:t>
      </w:r>
    </w:p>
    <w:p w14:paraId="34FB8D57" w14:textId="77777777" w:rsidR="001F42F5" w:rsidRPr="001267A7" w:rsidRDefault="001F42F5" w:rsidP="001F42F5">
      <w:r w:rsidRPr="001267A7">
        <w:t>«У государства в принципе пенсионный бюджет дефицитный. Это связано с демографической ситуацией. Но в данном случае нельзя говорить, что нет денег на такие процедуры. На это деньги могут найтись, серьёзных проблем это не вызовет», - сказал «Ридусу» экономист.</w:t>
      </w:r>
    </w:p>
    <w:p w14:paraId="316A1A6C" w14:textId="77777777" w:rsidR="001F42F5" w:rsidRPr="001267A7" w:rsidRDefault="001F42F5" w:rsidP="001F42F5">
      <w:r w:rsidRPr="001267A7">
        <w:t>Но в то же время Кульбака добавил, что «мало верит», что инициатива депутата Нилова будет иметь успех.</w:t>
      </w:r>
    </w:p>
    <w:p w14:paraId="4E847694" w14:textId="77777777" w:rsidR="001F42F5" w:rsidRPr="001267A7" w:rsidRDefault="001F42F5" w:rsidP="001F42F5">
      <w:r w:rsidRPr="001267A7">
        <w:t>«Вероятность принятия подобного документа не очень высока. Действия конкретных отдельных депутатов - в 99% случаев это просто какой-то пиар», - резюмировал эксперт.</w:t>
      </w:r>
    </w:p>
    <w:p w14:paraId="4AC5E155" w14:textId="77777777" w:rsidR="001F42F5" w:rsidRPr="001267A7" w:rsidRDefault="001F42F5" w:rsidP="001F42F5">
      <w:r w:rsidRPr="001267A7">
        <w:t>Председатель Комитета Госдумы по труду, социальной политике и делам ветеранов Нилов 19 мая внесёт проект изменений в Законы РФ «О государственном пенсионном обеспечении в РФ» и «О страховых пенсиях», которые позволят получать надбавки к пенсии на всех иждивенцев в семье.</w:t>
      </w:r>
    </w:p>
    <w:p w14:paraId="2462645B" w14:textId="77777777" w:rsidR="001F42F5" w:rsidRPr="001267A7" w:rsidRDefault="001F42F5" w:rsidP="001F42F5">
      <w:r w:rsidRPr="001267A7">
        <w:lastRenderedPageBreak/>
        <w:t>Сейчас доплаты к пенсии за нетрудоспособных членов семьи, находящихся на содержании пенсионера, выделяются не более чем на трёх человек. Обычно это несовершеннолетние дети или внуки на попечении пенсионеров.</w:t>
      </w:r>
    </w:p>
    <w:p w14:paraId="6DB0AECE" w14:textId="77777777" w:rsidR="001F42F5" w:rsidRPr="001267A7" w:rsidRDefault="001F42F5" w:rsidP="001F42F5">
      <w:hyperlink r:id="rId32" w:history="1">
        <w:r w:rsidRPr="001267A7">
          <w:rPr>
            <w:rStyle w:val="a3"/>
          </w:rPr>
          <w:t>https://www.ridus.ru/ekonomist-kulbaka-doplat-k-pensii-za-vseh-izhdivencev-ne-budet-hotya-dengi-est-626211.html</w:t>
        </w:r>
      </w:hyperlink>
      <w:r w:rsidRPr="001267A7">
        <w:t xml:space="preserve"> </w:t>
      </w:r>
    </w:p>
    <w:p w14:paraId="2E2EF412" w14:textId="77777777" w:rsidR="009F6330" w:rsidRPr="001267A7" w:rsidRDefault="009F6330" w:rsidP="009F6330">
      <w:pPr>
        <w:pStyle w:val="2"/>
      </w:pPr>
      <w:bookmarkStart w:id="97" w:name="_Toc198618897"/>
      <w:r w:rsidRPr="001267A7">
        <w:t>PRIMPRESS, 19.05.2025, Пенсионерам выплатят все пропущенные индексации пенсий: названа дата</w:t>
      </w:r>
      <w:bookmarkEnd w:id="97"/>
      <w:r w:rsidRPr="001267A7">
        <w:t xml:space="preserve"> </w:t>
      </w:r>
    </w:p>
    <w:p w14:paraId="5A562B48" w14:textId="77777777" w:rsidR="009F6330" w:rsidRPr="001267A7" w:rsidRDefault="009F6330" w:rsidP="00593D6A">
      <w:pPr>
        <w:pStyle w:val="3"/>
      </w:pPr>
      <w:bookmarkStart w:id="98" w:name="_Toc198618898"/>
      <w:r w:rsidRPr="001267A7">
        <w:t>Пенсионерам сообщили о всех пропущенных индексациях пенсий, которые будут выплачены многим гражданам в ближайшее время. Ожидать такой бонус пожилые люди смогут сразу после увольнения. Недавно этот процесс стал значительно проще для пенсионеров, как отметил пенсионный эксперт Сергей Власов, сообщает PRIMPRESS.</w:t>
      </w:r>
      <w:bookmarkEnd w:id="98"/>
    </w:p>
    <w:p w14:paraId="36C753B5" w14:textId="77777777" w:rsidR="009F6330" w:rsidRPr="001267A7" w:rsidRDefault="009F6330" w:rsidP="009F6330">
      <w:r w:rsidRPr="001267A7">
        <w:t>По его словам, получить все пропущенные индексации смогут те пенсионеры, которые уволились с работы. Дело в том, что официально работающим пенсионерам не повышают пенсии ежегодно, как это происходит с неработающими. Формально прибавка начисляется, но средства «замораживаются» до тех пор, пока человек не будет зарегистрирован как неработающий.</w:t>
      </w:r>
    </w:p>
    <w:p w14:paraId="17E30579" w14:textId="77777777" w:rsidR="009F6330" w:rsidRPr="001267A7" w:rsidRDefault="009F6330" w:rsidP="009F6330">
      <w:r w:rsidRPr="001267A7">
        <w:t>«После увольнения пенсионера в Социальном фонде его признают неработающим, и принимается решение о выплате всех индексаций, которые были проведены в стране за время его работы. Это может быть как полгода, так и год, а иногда и несколько лет. Напомню, что индексация для таких пенсионеров была приостановлена с 2016 года», — пояснил Власов.</w:t>
      </w:r>
    </w:p>
    <w:p w14:paraId="7B55A7B4" w14:textId="77777777" w:rsidR="009F6330" w:rsidRPr="001267A7" w:rsidRDefault="009F6330" w:rsidP="009F6330">
      <w:r w:rsidRPr="001267A7">
        <w:t>Он также добавил, что с этого года вступили в силу изменения, позволяющие пенсионерам быстрее получать такие прибавки. Ранее пенсия с учетом всех надбавок начинала поступать только на четвертый месяц после увольнения, а теперь этот срок сократился до двух месяцев. То есть тем, кто уволился в марте, все пропущенные индексации будут выплачены уже в июне. Учитывая, что массовые перечисления пенсий начнутся с 3 июня, можно ориентироваться на эту дату.</w:t>
      </w:r>
    </w:p>
    <w:p w14:paraId="200F9FCD" w14:textId="77777777" w:rsidR="009F6330" w:rsidRPr="001267A7" w:rsidRDefault="009F6330" w:rsidP="009F6330">
      <w:r w:rsidRPr="001267A7">
        <w:t>Размер прибавки индивидуален, но обычно пенсии в таких случаях увеличиваются примерно на пять тысяч рублей в месяц. Эта прибавка сохраняется даже в случае повторного трудоустройства пенсионера.</w:t>
      </w:r>
    </w:p>
    <w:p w14:paraId="1272353F" w14:textId="77777777" w:rsidR="009F6330" w:rsidRPr="001267A7" w:rsidRDefault="009F6330" w:rsidP="009F6330">
      <w:hyperlink r:id="rId33" w:history="1">
        <w:r w:rsidRPr="001267A7">
          <w:rPr>
            <w:rStyle w:val="a3"/>
          </w:rPr>
          <w:t>https://primpress.ru/article/123065</w:t>
        </w:r>
      </w:hyperlink>
      <w:r w:rsidRPr="001267A7">
        <w:t xml:space="preserve"> </w:t>
      </w:r>
    </w:p>
    <w:p w14:paraId="42716716" w14:textId="77777777" w:rsidR="000947D2" w:rsidRPr="001267A7" w:rsidRDefault="000947D2" w:rsidP="000947D2">
      <w:pPr>
        <w:pStyle w:val="2"/>
      </w:pPr>
      <w:bookmarkStart w:id="99" w:name="_Toc198618899"/>
      <w:r w:rsidRPr="001267A7">
        <w:t>Globalmsk.ru, 19.05.2025, Средний размер выплат трудоустроенным пенсионерам увеличился на 150 рублей</w:t>
      </w:r>
      <w:bookmarkEnd w:id="99"/>
    </w:p>
    <w:p w14:paraId="138C8F7C" w14:textId="77777777" w:rsidR="000947D2" w:rsidRPr="001267A7" w:rsidRDefault="000947D2" w:rsidP="00593D6A">
      <w:pPr>
        <w:pStyle w:val="3"/>
      </w:pPr>
      <w:bookmarkStart w:id="100" w:name="_Toc198618900"/>
      <w:r w:rsidRPr="001267A7">
        <w:t>Средний размер страховой пенсии работающих пожилых граждан России за первые три месяца текущего года увеличился на 150 рублей и достиг отметки в 22 тысячи рублей. Это первые результаты индексации выплат, которые правительство возобновило в этом году.</w:t>
      </w:r>
      <w:bookmarkEnd w:id="100"/>
    </w:p>
    <w:p w14:paraId="12694F62" w14:textId="77777777" w:rsidR="000947D2" w:rsidRPr="001267A7" w:rsidRDefault="000947D2" w:rsidP="000947D2">
      <w:r w:rsidRPr="001267A7">
        <w:t xml:space="preserve">Аналитики отмечают, что до введения соответствующего законопроекта средние начисления пенсионеров росли быстрее. При этом сохраняется достаточно сильный </w:t>
      </w:r>
      <w:r w:rsidRPr="001267A7">
        <w:lastRenderedPageBreak/>
        <w:t>разрыв между государственной поддержкой трудоустроенных и незанятных граждан. По информации, предоставленной Росстатом, за первые три месяца текущего года пенсии работающих пенсионеров увеличились всего на 150 рублей.</w:t>
      </w:r>
    </w:p>
    <w:p w14:paraId="6D171314" w14:textId="77777777" w:rsidR="000947D2" w:rsidRPr="001267A7" w:rsidRDefault="000947D2" w:rsidP="000947D2">
      <w:r w:rsidRPr="001267A7">
        <w:t>С 2016 года власти не индексировали выплаты данной категории населения. Владимир Чернов, аналитик компании Freedom Finance Global, сказал по этому поводу следующее: «За первый квартал 2024 года средний размер пенсий трудоустроенных пожилых граждан страны увеличился на 300 рублей. Год назад выплаты росли более динамично из-за того, что тогда правительство делало первые шаги для выравнивания условий для незанятых и работающих пенсионеров. Так, для второй категории повысили стоимость индивидуальных пенсионных коэффициентов, а также улучшили условия для начисления дополнительных баллов после прекращения гражданами своей трудовой деятельности».</w:t>
      </w:r>
    </w:p>
    <w:p w14:paraId="2943D41D" w14:textId="77777777" w:rsidR="000947D2" w:rsidRPr="001267A7" w:rsidRDefault="000947D2" w:rsidP="000947D2">
      <w:r w:rsidRPr="001267A7">
        <w:t>Другие эксперты отмечают, что даже после возобновления индексации и введения других мер, направленных на выравнивание условий для пенсионеров, разница в выплатах остается огромной. На данный момент она составляет практически 3,8 тысячи рублей. За первый квартал этого года разрыв удалось снизить только на 100 рублей. Он уменьшается два раза в год: в январе, после проведения индексации, и в августе, после перерасчета накопленных коэффициентов.</w:t>
      </w:r>
    </w:p>
    <w:p w14:paraId="2A2D1B1A" w14:textId="77777777" w:rsidR="000947D2" w:rsidRPr="001267A7" w:rsidRDefault="000947D2" w:rsidP="000947D2">
      <w:r w:rsidRPr="001267A7">
        <w:t>Чернов убежден, что к концу 2025 года разница между выплатами работающим и незанятым пенсионерам практически не изменится. Более того, добиться полного ее исчезновения не получится в течение нескольких лет, если правительство не примет дополнительные меры по компенсации накопленных индексаций в период с 2016 по 2024 год.</w:t>
      </w:r>
    </w:p>
    <w:p w14:paraId="1F7581A0" w14:textId="77777777" w:rsidR="000947D2" w:rsidRPr="001267A7" w:rsidRDefault="000947D2" w:rsidP="000947D2">
      <w:r w:rsidRPr="001267A7">
        <w:t>«Многим пенсионерам в России приходится продолжать работать, чтобы поддерживать свой привычный образ жизни. Практика показывает, что только государственных выплат для этого недостаточно. На сегодняшний день соотношение средней пенсии и заработной платы значительно ниже рекомендуемого значения Международной организации труда и имеет тенденцию к сокращению на фоне опережающего роста заработных плат. Особенно сильно это фиксируется в течение последних трех лет», - добавила Ольга Беленькая, представитель компании «Финам».</w:t>
      </w:r>
    </w:p>
    <w:p w14:paraId="79FA8E0B" w14:textId="77777777" w:rsidR="000947D2" w:rsidRPr="001267A7" w:rsidRDefault="000947D2" w:rsidP="000947D2">
      <w:r w:rsidRPr="001267A7">
        <w:t>Не так давно аналитики сообщили о том, что в конце прошлого года размер средней страховой пенсии по старости был зафиксирован на уровне 25 тысяч рублей, а средняя заработная плата - 86 тысяч рублей. При прекращении трудовой деятельности пожилые граждане страны получают всего 29% от своего заработка. Поэтому при возможности они предпочитают продолжать работать, так как в таком случае удается сохранить свой уровень жизни. Текущий дефицит кадров на рынке труда способствует поддержанию их трудовой деятельности. В таких условиях работодатели охотнее оставляют сотрудников предпенсионного и пенсионного возраста.</w:t>
      </w:r>
    </w:p>
    <w:p w14:paraId="1C2841AC" w14:textId="77777777" w:rsidR="000947D2" w:rsidRPr="001267A7" w:rsidRDefault="000947D2" w:rsidP="000947D2">
      <w:hyperlink r:id="rId34" w:history="1">
        <w:r w:rsidRPr="001267A7">
          <w:rPr>
            <w:rStyle w:val="a3"/>
          </w:rPr>
          <w:t>https://www.globalmsk.ru/news/id/74564</w:t>
        </w:r>
      </w:hyperlink>
      <w:r w:rsidRPr="001267A7">
        <w:t xml:space="preserve"> </w:t>
      </w:r>
    </w:p>
    <w:p w14:paraId="4F6C18C2" w14:textId="77777777" w:rsidR="00407D28" w:rsidRPr="001267A7" w:rsidRDefault="00407D28" w:rsidP="00407D28">
      <w:pPr>
        <w:pStyle w:val="2"/>
      </w:pPr>
      <w:bookmarkStart w:id="101" w:name="_Hlk198618307"/>
      <w:bookmarkStart w:id="102" w:name="_Toc198618901"/>
      <w:r w:rsidRPr="001267A7">
        <w:lastRenderedPageBreak/>
        <w:t>Пенсия.pro, 19.05.2025, Ученые назвали главный вызов для будущего пенсионной системы России</w:t>
      </w:r>
      <w:bookmarkEnd w:id="102"/>
    </w:p>
    <w:p w14:paraId="00FEA9F0" w14:textId="77777777" w:rsidR="00407D28" w:rsidRPr="001267A7" w:rsidRDefault="00407D28" w:rsidP="00593D6A">
      <w:pPr>
        <w:pStyle w:val="3"/>
      </w:pPr>
      <w:bookmarkStart w:id="103" w:name="_Toc198618902"/>
      <w:r w:rsidRPr="001267A7">
        <w:t>Когда рожденные в 1980-е годы люди начнут выходить на пенсию, российская экономика столкнется с серьезными вызовами, считают ученые Высшей школы экономики. Запросы будущих пенсионеров — гораздо выше, чем у нынешних, объяснили специалисты ВШЭ.</w:t>
      </w:r>
      <w:bookmarkEnd w:id="103"/>
    </w:p>
    <w:p w14:paraId="44CA1F66" w14:textId="77777777" w:rsidR="00407D28" w:rsidRPr="001267A7" w:rsidRDefault="00407D28" w:rsidP="00407D28">
      <w:r w:rsidRPr="001267A7">
        <w:t>Важная особенность выхода на пенсию людей из 1980-х — их многочисленность. При этом такие люди больше заботятся о своем здоровье, у них другие стандарты потребления, у них будет другая модель старости, перечислили аналитики.</w:t>
      </w:r>
    </w:p>
    <w:p w14:paraId="19236346" w14:textId="77777777" w:rsidR="00407D28" w:rsidRPr="001267A7" w:rsidRDefault="00407D28" w:rsidP="00407D28">
      <w:r w:rsidRPr="001267A7">
        <w:t>В России значительная доля лиц предпенсионного (50-59 лет) возраста стала носительницей модели «активного старения», которая раньше ассоциировалась исключительно с развитыми странами Европы и Америки. Люди в этом возрасте стали активно вкладываться в свое здоровье, путешествовать и осваивать новое. Это делает потребительские расходы выше, сравнимыми с расходами молодых людей. По словам социологов, наибольшей нагрузка на социальную систему из-за перестройки моделей старения станет к середине XXI века.</w:t>
      </w:r>
    </w:p>
    <w:p w14:paraId="7DA443DA" w14:textId="77777777" w:rsidR="00407D28" w:rsidRPr="001267A7" w:rsidRDefault="00407D28" w:rsidP="00407D28">
      <w:r w:rsidRPr="001267A7">
        <w:t>Сейчас средняя пенсия в РФ = примерно 23 000 рублям в месяц. Обеспечить все потребности будущие пенсионеры смогут только за счет своих накоплений и дополнительного заработка.</w:t>
      </w:r>
    </w:p>
    <w:p w14:paraId="21CBF0B7" w14:textId="77777777" w:rsidR="00407D28" w:rsidRPr="001267A7" w:rsidRDefault="00407D28" w:rsidP="00407D28">
      <w:r w:rsidRPr="001267A7">
        <w:t>Для существенного повышения социальных пособий и пенсий нынешней российской экономики не хватит доходов и производительности труда. Такого мнения придерживается директор Центра исследований социальной экономики Алексей Зубец. По словам аналитика, индексация пенсий позволяет российским пенсионерам «не беднеть». Пожилым людям хватает выплат, чтобы не оказаться за чертой бедности, но для комфортной жизни этого недостаточно. Фактически роста доходов у пенсионеров нет, говорит Зубец.</w:t>
      </w:r>
    </w:p>
    <w:p w14:paraId="27DE7353" w14:textId="77777777" w:rsidR="00407D28" w:rsidRPr="001267A7" w:rsidRDefault="00407D28" w:rsidP="00407D28">
      <w:hyperlink r:id="rId35" w:history="1">
        <w:r w:rsidRPr="001267A7">
          <w:rPr>
            <w:rStyle w:val="a3"/>
          </w:rPr>
          <w:t>https://pensiya.pro/news/uchenye-nazvali-glavnyj-vyzov-dlya-budushhego-pensionnoj-sistemy-rossii/</w:t>
        </w:r>
      </w:hyperlink>
      <w:r w:rsidRPr="001267A7">
        <w:t xml:space="preserve"> </w:t>
      </w:r>
    </w:p>
    <w:p w14:paraId="1BFAFEA3" w14:textId="77777777" w:rsidR="00407D28" w:rsidRPr="001267A7" w:rsidRDefault="00407D28" w:rsidP="00407D28">
      <w:pPr>
        <w:pStyle w:val="2"/>
      </w:pPr>
      <w:bookmarkStart w:id="104" w:name="_Toc198618903"/>
      <w:bookmarkEnd w:id="101"/>
      <w:r w:rsidRPr="001267A7">
        <w:t>Пенсия.pro, 19.05.2025, Какой будет пенсия, если вам сейчас 30-50 лет? Подробный расчет</w:t>
      </w:r>
      <w:bookmarkEnd w:id="104"/>
    </w:p>
    <w:p w14:paraId="070771A2" w14:textId="77777777" w:rsidR="00407D28" w:rsidRPr="001267A7" w:rsidRDefault="00407D28" w:rsidP="00593D6A">
      <w:pPr>
        <w:pStyle w:val="3"/>
      </w:pPr>
      <w:bookmarkStart w:id="105" w:name="_Toc198618904"/>
      <w:r w:rsidRPr="001267A7">
        <w:t>В этом году средняя пенсия россиянина составит около 24 000 рублей. Сумма, прямо скажем, скромная. А что будет в будущем? Ничего хорошего? Предугадать можно, если разобраться в том, по каким правилам Соцфонд делает начисления. Рассчитали, какие выплаты назначат в 2034, 2044 и 2054 годах и объясняем, как сделать расчет самостоятельно.</w:t>
      </w:r>
      <w:bookmarkEnd w:id="105"/>
    </w:p>
    <w:p w14:paraId="439F1317" w14:textId="77777777" w:rsidR="00407D28" w:rsidRPr="001267A7" w:rsidRDefault="00407D28" w:rsidP="00407D28">
      <w:r w:rsidRPr="001267A7">
        <w:t>Как считается страховая пенсия и кому положена сейчас</w:t>
      </w:r>
    </w:p>
    <w:p w14:paraId="48AC3EE2" w14:textId="77777777" w:rsidR="00407D28" w:rsidRPr="001267A7" w:rsidRDefault="00407D28" w:rsidP="00407D28">
      <w:r w:rsidRPr="001267A7">
        <w:t>До 2019 года пенсионный возраст оставался таким же, каким был еще в СССР: женщины выходили на пенсию в 55 лет, мужчины в 60 лет. Но потом прошла очередная пенсионная реформа и возраст стали повышать. До сих пор идет переходный период. В этом году пенсионерами станут 58-летние женщины и 63-летние мужчины. Но только возраста недостаточно, еще нужно накопить нужный стаж и количество ИПК: сейчас это 15 лет и 28,2 балла.</w:t>
      </w:r>
    </w:p>
    <w:p w14:paraId="12F542AA" w14:textId="77777777" w:rsidR="00407D28" w:rsidRPr="001267A7" w:rsidRDefault="00407D28" w:rsidP="00407D28">
      <w:r w:rsidRPr="001267A7">
        <w:lastRenderedPageBreak/>
        <w:t xml:space="preserve">    Формула расчета пенсии выглядит так:</w:t>
      </w:r>
    </w:p>
    <w:p w14:paraId="660B3013" w14:textId="77777777" w:rsidR="00407D28" w:rsidRPr="001267A7" w:rsidRDefault="00407D28" w:rsidP="00407D28">
      <w:r w:rsidRPr="001267A7">
        <w:t xml:space="preserve">    страховая пенсия = сумма пенсионных коэффициентов (ИПК) * стоимость пенсионного коэффициента + фиксированная выплата * коэффициент повышения фиксированной выплаты.</w:t>
      </w:r>
    </w:p>
    <w:p w14:paraId="56402B35" w14:textId="77777777" w:rsidR="00407D28" w:rsidRPr="001267A7" w:rsidRDefault="00407D28" w:rsidP="00407D28">
      <w:r w:rsidRPr="001267A7">
        <w:t>Чтобы разобраться с будущей пенсией, надо понимать, какую стоимость будут иметь все составляющие формулы расчета.</w:t>
      </w:r>
    </w:p>
    <w:p w14:paraId="76C67614" w14:textId="77777777" w:rsidR="00407D28" w:rsidRPr="001267A7" w:rsidRDefault="00407D28" w:rsidP="00407D28">
      <w:r w:rsidRPr="001267A7">
        <w:t>ИПК начисляют в зависимости от зарплаты, чем она больше, тем больше дают баллов, но за год можно получить максимум 10. Стоимость пенсионного коэффициента ежегодно устанавливает государство. В 2025 году он = 142 рубля 76 копеек. Фиксированную выплату тоже устанавливает государство (сейчас 8728 рублей 73 копейки). Повышающие коэффициенты назначают за долгожительство, инвалидность или если у пенсионера есть кто-то на иждивении.</w:t>
      </w:r>
    </w:p>
    <w:p w14:paraId="36ACD7B3" w14:textId="77777777" w:rsidR="00407D28" w:rsidRPr="001267A7" w:rsidRDefault="00407D28" w:rsidP="00407D28">
      <w:r w:rsidRPr="001267A7">
        <w:t>Какие правила выхода на пенсию будут в будущем</w:t>
      </w:r>
    </w:p>
    <w:p w14:paraId="1FDBC060" w14:textId="77777777" w:rsidR="00407D28" w:rsidRPr="001267A7" w:rsidRDefault="00407D28" w:rsidP="00407D28">
      <w:r w:rsidRPr="001267A7">
        <w:t>Переходный период по повышению пенсионного возраста закончится в 2028 году. То есть после этого правила будут едиными вне зависимости от того, собираетесь вы на пенсию через 10 лет, 20 или 30.</w:t>
      </w:r>
    </w:p>
    <w:p w14:paraId="4C6FEE41" w14:textId="77777777" w:rsidR="00407D28" w:rsidRPr="001267A7" w:rsidRDefault="00407D28" w:rsidP="00407D28">
      <w:r w:rsidRPr="001267A7">
        <w:t>Есть исключения. Многие из тех, кто претендует на досрочную пенсию, смогут выйти на нее по дореформенным правилам. Это те, кто работает в тяжелых и вредных условиях труда, летчики, спасатели, сотрудники колоний. Возраст выхода на пенсию инвалидов, родителей инвалидов, многодетных матерей тоже не меняется.</w:t>
      </w:r>
    </w:p>
    <w:p w14:paraId="7D14031C" w14:textId="77777777" w:rsidR="00407D28" w:rsidRPr="001267A7" w:rsidRDefault="00407D28" w:rsidP="00407D28">
      <w:r w:rsidRPr="001267A7">
        <w:t>Те, кто делает добровольные взносы в НПФ или успели сформировать накопительную часть пенсии, смогут получить выплаты досрочно, в 55 лет женщины и 60 лет мужчины. Но только эти выплаты, не обычную страховую пенсию.</w:t>
      </w:r>
    </w:p>
    <w:p w14:paraId="03C83EAA" w14:textId="77777777" w:rsidR="00407D28" w:rsidRPr="001267A7" w:rsidRDefault="00407D28" w:rsidP="00407D28">
      <w:r w:rsidRPr="001267A7">
        <w:t>А вот те, кто на страховую пенсию не наработал и будет довольствоваться социальной, получат ее на пять лет позже. То есть в свои 65 и 70 (для женщин и мужчин соответственно).</w:t>
      </w:r>
    </w:p>
    <w:p w14:paraId="3418AC0B" w14:textId="77777777" w:rsidR="00407D28" w:rsidRPr="001267A7" w:rsidRDefault="00407D28" w:rsidP="00407D28">
      <w:r w:rsidRPr="001267A7">
        <w:t>Пока не слышно о планах властей повышать пенсионный возраст и дальше. Значит, есть некоторые шансы, что по таким правилам на пенсию пойдут и нынешние 30-летние, которым работать нужно будет аккурат до 2054 года (женщинам, мужчинам на пять лет больше).</w:t>
      </w:r>
    </w:p>
    <w:p w14:paraId="318CE2E3" w14:textId="77777777" w:rsidR="00407D28" w:rsidRPr="001267A7" w:rsidRDefault="00407D28" w:rsidP="00407D28">
      <w:r w:rsidRPr="001267A7">
        <w:t>Повышаются не только требования к пенсионерам, но и все составляющие формулы пенсионных расчетов. Предсказать, сколько будет стоить ИПК в 2054 году нереально, даже в 2034 год заглянуть невозможно. С индексацией все чуть более понятно. Сейчас пенсии неработающим поднимают на определенный индекс, близкий к росстатовской инфляции, показатель в конце года утверждают депутаты.</w:t>
      </w:r>
    </w:p>
    <w:p w14:paraId="04E8DD7C" w14:textId="77777777" w:rsidR="00407D28" w:rsidRPr="001267A7" w:rsidRDefault="00407D28" w:rsidP="00407D28">
      <w:r w:rsidRPr="001267A7">
        <w:t>Где найти свои баллы и стаж</w:t>
      </w:r>
    </w:p>
    <w:p w14:paraId="7485884E" w14:textId="77777777" w:rsidR="00407D28" w:rsidRPr="001267A7" w:rsidRDefault="00407D28" w:rsidP="00407D28">
      <w:r w:rsidRPr="001267A7">
        <w:t>Прежде чем заниматься расчетами будущей пенсии, стоит понять, получается ли у вас «выполнить план», то есть заработать нужные баллы и стаж. Посмотрите, что имеется на сегодняшний день.</w:t>
      </w:r>
    </w:p>
    <w:p w14:paraId="41CB0342" w14:textId="77777777" w:rsidR="00407D28" w:rsidRPr="001267A7" w:rsidRDefault="00407D28" w:rsidP="00407D28">
      <w:r w:rsidRPr="001267A7">
        <w:t xml:space="preserve">Сделать это можно через Госуслуги. Зайдите в раздел «Пенсии, пособия» и выберите пункт «Выписка из лицевого счета в СФР», после этого сформируется заявление, выписка должна прийти в течение суток, но обычно это вопрос 5-10 минут. В </w:t>
      </w:r>
      <w:r w:rsidRPr="001267A7">
        <w:lastRenderedPageBreak/>
        <w:t>документе будут перечислены все периоды работы с разбивкой по годам и даже по кварталам, если было повышение зарплаты или какие-то другие изменения, влияющие на размер пенсии. Работу до 2015 года и до 2002 года (если такая была) укажут отдельно, так как там действовали иные правила расчета. В выписке также будет указан общий стаж и накопленные баллы.</w:t>
      </w:r>
    </w:p>
    <w:p w14:paraId="2448DC9C" w14:textId="77777777" w:rsidR="00407D28" w:rsidRPr="001267A7" w:rsidRDefault="00407D28" w:rsidP="00407D28">
      <w:r w:rsidRPr="001267A7">
        <w:t>Оцените, сколько лет осталось до пенсии и что вы успели накопить. Если вы продолжите работать в тех же условиях и получать ту же зарплату (даже с индексацией на размер инфляции, но без существенного повышения), получится ли выполнить все требования для назначения страховой пенсии? Кроме того, в этой же выписке будет указано, есть ли у вас накопительная пенсия, где она находится, сколько туда было перечислено денег и сколько уже накоплено.</w:t>
      </w:r>
    </w:p>
    <w:p w14:paraId="1A441A26" w14:textId="77777777" w:rsidR="00407D28" w:rsidRPr="001267A7" w:rsidRDefault="00407D28" w:rsidP="00407D28">
      <w:r w:rsidRPr="001267A7">
        <w:t>Расчет размера пенсии: все способы</w:t>
      </w:r>
    </w:p>
    <w:p w14:paraId="41ABF69A" w14:textId="77777777" w:rsidR="00407D28" w:rsidRPr="001267A7" w:rsidRDefault="00407D28" w:rsidP="00407D28">
      <w:r w:rsidRPr="001267A7">
        <w:t>Чтобы точно узнать размер будущей пенсии, нужно в формулу ее расчета подставить все данные.</w:t>
      </w:r>
    </w:p>
    <w:p w14:paraId="7D2040C4" w14:textId="77777777" w:rsidR="00407D28" w:rsidRPr="001267A7" w:rsidRDefault="00407D28" w:rsidP="00407D28">
      <w:r w:rsidRPr="001267A7">
        <w:t>Все бы хорошо, да только никто не знает наперед ничего из этого списка. Да, в 50 лет, наверное, можно определиться с баллами за воспитание детей. Но даже в этом возрасте трудно предсказать будущую зарплату, а уж те элементы формулы, которые утверждает правительство, и вовсе темный лес. Поэтому рассчитать пенсию, какой она гарантировано будет, нереально. Зато реально оценить ее ориентировочный размер.</w:t>
      </w:r>
    </w:p>
    <w:p w14:paraId="5961A2B3" w14:textId="77777777" w:rsidR="00407D28" w:rsidRPr="001267A7" w:rsidRDefault="00407D28" w:rsidP="00407D28">
      <w:r w:rsidRPr="001267A7">
        <w:t>Вариант № 1: прикинуть среднее по больнице</w:t>
      </w:r>
    </w:p>
    <w:p w14:paraId="11ABA4D7" w14:textId="77777777" w:rsidR="00407D28" w:rsidRPr="001267A7" w:rsidRDefault="00407D28" w:rsidP="00407D28">
      <w:r w:rsidRPr="001267A7">
        <w:t>Самый простой и оперативный способ посчитать будущую пенсию — найти, сколько сейчас получают пенсионеры, чей трудовой опыт схож с вашим.</w:t>
      </w:r>
    </w:p>
    <w:p w14:paraId="00DF9098" w14:textId="77777777" w:rsidR="00407D28" w:rsidRPr="001267A7" w:rsidRDefault="00407D28" w:rsidP="00407D28">
      <w:r w:rsidRPr="001267A7">
        <w:t>Можно умножить эту цифру на предполагаемый размер инфляции за следующие 10-30 лет. Для справки, за последние 10 лет она выросла более чем в два раза. Но делать это не обязательно. Пенсию проиндексируют на размер инфляции. То есть средняя пенсия и средняя официальная стоимость товаров вырастут на одну и ту же величину. Покупательская способность денег как минимум не вырастет. Вам же важнее оценить, что вы сможете купить, а не какая номинальная цифра будет на карточке.</w:t>
      </w:r>
    </w:p>
    <w:p w14:paraId="1BBACB72" w14:textId="77777777" w:rsidR="00407D28" w:rsidRPr="001267A7" w:rsidRDefault="00407D28" w:rsidP="00407D28">
      <w:r w:rsidRPr="001267A7">
        <w:t>Главный плюс такого способа — его универсальность и наглядность. Вы не просто видите голые цифры, вы можете представить, как живет пенсионер на такую сумму. Главный минус — как в старом анекдоте, средняя температура по больнице 36,6, с учетом морга и гнойного отделения. Но если ваша зарплата плюс-минус похожа на среднюю, то способ вам подойдет.</w:t>
      </w:r>
    </w:p>
    <w:p w14:paraId="681B9F0B" w14:textId="77777777" w:rsidR="00407D28" w:rsidRPr="001267A7" w:rsidRDefault="00407D28" w:rsidP="00407D28">
      <w:r w:rsidRPr="001267A7">
        <w:t>Средняя пенсия в 2025 году в России — примерно 24 000 рублей. Но между регионами разница огромная. Рекомендуем свериться со средним значением в вашем регионе. Еще лучше — прикинуть, будете вы работать на пенсии или нет. Поможет официальная статистика, открывайте эту таблицу и смотрите свой регион.</w:t>
      </w:r>
    </w:p>
    <w:p w14:paraId="06B14B0B" w14:textId="77777777" w:rsidR="00407D28" w:rsidRPr="001267A7" w:rsidRDefault="00407D28" w:rsidP="00407D28">
      <w:r w:rsidRPr="001267A7">
        <w:t>Вариант № 2: посчитать зарплаты в будущем</w:t>
      </w:r>
    </w:p>
    <w:p w14:paraId="5A989F4A" w14:textId="77777777" w:rsidR="00407D28" w:rsidRPr="001267A7" w:rsidRDefault="00407D28" w:rsidP="00407D28">
      <w:r w:rsidRPr="001267A7">
        <w:t>Другой вариант узнать свою будущую пенсию — оценить свой доход и скорректировать его на традиционное для России соотношение зарплат и пенсий (это называется коэффициент замещения).</w:t>
      </w:r>
    </w:p>
    <w:p w14:paraId="2C23BFDD" w14:textId="77777777" w:rsidR="00407D28" w:rsidRPr="001267A7" w:rsidRDefault="00407D28" w:rsidP="00407D28">
      <w:r w:rsidRPr="001267A7">
        <w:lastRenderedPageBreak/>
        <w:t>Международная организация труда считает, что 100 % замещение не обязательно. Но в конвенции «О минимальных нормах социального обеспечения» указано, что пенсия должна составлять как минимум 40 % прежнего заработка. До 2017 года в России так и было.</w:t>
      </w:r>
    </w:p>
    <w:p w14:paraId="72843CED" w14:textId="77777777" w:rsidR="00407D28" w:rsidRPr="001267A7" w:rsidRDefault="00407D28" w:rsidP="00407D28">
      <w:r w:rsidRPr="001267A7">
        <w:t>По итогам 2023 года средняя пенсия в России составляла около 30 % от средней зарплаты. Годом ранее соотношение было ниже 28 %. И в целом уже минимум пять лет пенсионные выплаты не набирают и трети от зарплаты. То есть доход человека в среднем проседает на 70 %. Счетная палата прогнозирует, что до 2030 года соотношение принципиально не изменится, даже индексация пенсий не поможет.</w:t>
      </w:r>
    </w:p>
    <w:p w14:paraId="5622406A" w14:textId="77777777" w:rsidR="00407D28" w:rsidRPr="001267A7" w:rsidRDefault="00407D28" w:rsidP="00407D28">
      <w:r w:rsidRPr="001267A7">
        <w:t>Пока нет долгосрочных прогнозов по росту зарплаты через 10 лет, а уж через 20 и 30 тем более. Но за последние 10 лет зарплаты выросли примерно в 2,5 раза. На каждом конкретном предприятии свои условия. Но так или иначе, даже коммерческий сектор зависит от того, что происходит с государством. Стоит учитывать такие моменты:</w:t>
      </w:r>
    </w:p>
    <w:p w14:paraId="7B0E0722" w14:textId="77777777" w:rsidR="00407D28" w:rsidRPr="001267A7" w:rsidRDefault="00407D28" w:rsidP="00407D28">
      <w:r w:rsidRPr="001267A7">
        <w:t xml:space="preserve">    Россия находится под санкциями, и они, весьма вероятно, будут длительными;</w:t>
      </w:r>
    </w:p>
    <w:p w14:paraId="6434A161" w14:textId="77777777" w:rsidR="00407D28" w:rsidRPr="001267A7" w:rsidRDefault="00407D28" w:rsidP="00407D28">
      <w:r w:rsidRPr="001267A7">
        <w:t xml:space="preserve">    темпы роста российской экономики в ближайшие 10-15 лет будут составлять 1 %;</w:t>
      </w:r>
    </w:p>
    <w:p w14:paraId="521FF428" w14:textId="77777777" w:rsidR="00407D28" w:rsidRPr="001267A7" w:rsidRDefault="00407D28" w:rsidP="00407D28">
      <w:r w:rsidRPr="001267A7">
        <w:t xml:space="preserve">    еще в относительно благополучном 2016 году прогнозировалось, что до 2035 года в России будет стагнация, реальные доходы населения будут расти на 1,4 % в год (после 2022 года цифра корректировалась в лучшую сторону);</w:t>
      </w:r>
    </w:p>
    <w:p w14:paraId="2EE68E48" w14:textId="77777777" w:rsidR="00407D28" w:rsidRPr="001267A7" w:rsidRDefault="00407D28" w:rsidP="00407D28">
      <w:r w:rsidRPr="001267A7">
        <w:t xml:space="preserve">    по последним оценкам Минэкономразвития, к 2035-2040 годам экспорт и потребление российской нефти упадет.</w:t>
      </w:r>
    </w:p>
    <w:p w14:paraId="5DED1B46" w14:textId="77777777" w:rsidR="00407D28" w:rsidRPr="001267A7" w:rsidRDefault="00407D28" w:rsidP="00407D28">
      <w:r w:rsidRPr="001267A7">
        <w:t>Если вы предполагаете, что и в будущем зарплаты будут расти в 2,5 раза за 10 лет, умножайте на этот коэффициент свою зарплату и берите от получившегося треть. Оптимистичный расчет пенсии готов.</w:t>
      </w:r>
    </w:p>
    <w:p w14:paraId="6C3C3254" w14:textId="77777777" w:rsidR="00407D28" w:rsidRPr="001267A7" w:rsidRDefault="00407D28" w:rsidP="00407D28">
      <w:r w:rsidRPr="001267A7">
        <w:t>Чем хорош способ — он позволяет оценить будущие выплаты исходя из текущих реалий конкретного человека. Если зарплата сильно отличается от среднего в регионе, этот вариант подойдет лучше первого.</w:t>
      </w:r>
    </w:p>
    <w:p w14:paraId="5C63C1EA" w14:textId="77777777" w:rsidR="00407D28" w:rsidRPr="001267A7" w:rsidRDefault="00407D28" w:rsidP="00407D28">
      <w:r w:rsidRPr="001267A7">
        <w:t>Вариант № 3: пенсионный калькулятор</w:t>
      </w:r>
    </w:p>
    <w:p w14:paraId="7A132285" w14:textId="77777777" w:rsidR="00407D28" w:rsidRPr="001267A7" w:rsidRDefault="00407D28" w:rsidP="00407D28">
      <w:r w:rsidRPr="001267A7">
        <w:t>СФР знает, что всем интересно посчитать свою будущую пенсию. Поэтому на официальном сайте фонда можно найти калькулятор. Способов расчета два: исходя из жизненной ситуации и исходя из желаемого размера пенсии.</w:t>
      </w:r>
    </w:p>
    <w:p w14:paraId="4B203377" w14:textId="77777777" w:rsidR="00407D28" w:rsidRPr="001267A7" w:rsidRDefault="00407D28" w:rsidP="00407D28">
      <w:r w:rsidRPr="001267A7">
        <w:t>Последняя функция очень интересная и хорошо показывает, как несправедливо начисляется пенсия. К примеру, автору текста нужно еще 24 года работать с зарплатой не ниже 183 000 рублей, чтоб в старости получать 40 000 рублей. Да, эти цифры в реалиях 2025 года, без индексации и прочего. Это все повысят, но и инфляция вырастет.</w:t>
      </w:r>
    </w:p>
    <w:p w14:paraId="2D632C7B" w14:textId="77777777" w:rsidR="00407D28" w:rsidRPr="001267A7" w:rsidRDefault="00407D28" w:rsidP="00407D28">
      <w:r w:rsidRPr="001267A7">
        <w:t xml:space="preserve">Чтобы посчитать размер будущей пенсии, надо нажать кнопку «Исходя из жизненной ситуации». СФР знает про вас все, так что текущий стаж и накопленные ИПК вы увидите сразу. Там же будет подсказка, сколько еще надо накопить. Калькулятор автоматически подсчитает размер будущей пенсии, но можно внести корректировки, указав дополнительные параметры: военную службу, уход за детьми до 1,5 лет, планы поработать на Крайнем Севере, самозанятость и ИП. А заодно — сколько лет планируете работать (каждый лишний год даст повышение в выплате) и какая будет </w:t>
      </w:r>
      <w:r w:rsidRPr="001267A7">
        <w:lastRenderedPageBreak/>
        <w:t>зарплата. Если поиграться с ползункам уровня зарплаты, можно понять, при каком уровне дохода страховая пенсия по старости вам не светит вообще.</w:t>
      </w:r>
    </w:p>
    <w:p w14:paraId="50AE32C4" w14:textId="77777777" w:rsidR="00407D28" w:rsidRPr="001267A7" w:rsidRDefault="00407D28" w:rsidP="00407D28">
      <w:r w:rsidRPr="001267A7">
        <w:t>В чем плюс этого калькулятора — все просто, быстро и наглядно. Главный минус — коэффициент замещения СФР берет порядка 37 %, гораздо выше того, что происходит в реальности. То есть вот эта мрачная картинка, которая там получилась — это ваше светлое будущее. Ну и стоит учитывать, что весь расчет в реалиях 2025 года, без учета инфляции, повышения фиксированной выплаты и прочих моментов.</w:t>
      </w:r>
    </w:p>
    <w:p w14:paraId="45DE5900" w14:textId="77777777" w:rsidR="00407D28" w:rsidRPr="001267A7" w:rsidRDefault="00407D28" w:rsidP="00407D28">
      <w:r w:rsidRPr="001267A7">
        <w:t>Еще один минус — посчитать можно только на основе своих реальных данных, если хотите узнать будущую пенсию супруга или родителя, ничего не выйдет. В этом случае удобнее воспользоваться любым сторонним пенсионным калькулятором. Просто загуглите эти слова и найдете пару десятков их видов. Только проверяйте, чтоб данные там подставлялись за 2025 год, а то есть ископаемые, считающие данные даже на 2017 год.</w:t>
      </w:r>
    </w:p>
    <w:p w14:paraId="7E093FFE" w14:textId="77777777" w:rsidR="00407D28" w:rsidRPr="001267A7" w:rsidRDefault="00407D28" w:rsidP="00407D28">
      <w:r w:rsidRPr="001267A7">
        <w:t>Мы проверили, сколько будут получать условные будущие пенсионеры. Брали адекватные рынку зарплаты, считали, что все работают с 25 лет и ближе к солидному возрасту зарабатывают больше. Женщины успели посидеть в отпуске по уходу за одним ребенком до полутора лет, мужчины — год послужить. Все хотят выйти на пенсию в положенный срок и никто не пожелал переехать на Крайний Север или поработать во вредных условиях. В общем, расчет для типового россиянина.</w:t>
      </w:r>
    </w:p>
    <w:p w14:paraId="43E90229" w14:textId="77777777" w:rsidR="00407D28" w:rsidRPr="001267A7" w:rsidRDefault="00407D28" w:rsidP="00407D28">
      <w:r w:rsidRPr="001267A7">
        <w:t>Как увеличить пенсию заранее</w:t>
      </w:r>
    </w:p>
    <w:p w14:paraId="5D04C7B8" w14:textId="77777777" w:rsidR="00407D28" w:rsidRPr="001267A7" w:rsidRDefault="00407D28" w:rsidP="00407D28">
      <w:r w:rsidRPr="001267A7">
        <w:t>Посчитать размер будущей пенсии дело не только увлекательное, но и печальное полезное. Оцените получившуюся сумму. Как думаете, этого хватит на комфортный уровень жизни? Если нет, то стоит заранее позаботиться о том, как увеличить размер выплат.</w:t>
      </w:r>
    </w:p>
    <w:p w14:paraId="1B6EBC1B" w14:textId="77777777" w:rsidR="00407D28" w:rsidRPr="001267A7" w:rsidRDefault="00407D28" w:rsidP="00407D28">
      <w:r w:rsidRPr="001267A7">
        <w:t xml:space="preserve">    Белая и высокая зарплата. Звучит банально, но факт — чем выше ваша зарплата, тем больше копится ИПК и тем выше будет поддержка от государства в старости. А если вы не трудоустроены официально, то еще и стаж не начисляется. Но есть несколько условий. Во-первых, речь идет о белой зарплате. Все, что вам передают в конверте, в расчет не идет. Во-вторых, есть ограничение, за год больше 10 ИПК не заработать. И ежегодно повышается размер зарплаты, которая позволяет получить максимум. В 2025 году это 2,225 млн рублей в год, если зарабатываете больше, это учитываться не будет.</w:t>
      </w:r>
    </w:p>
    <w:p w14:paraId="02331E9F" w14:textId="77777777" w:rsidR="00407D28" w:rsidRPr="001267A7" w:rsidRDefault="00407D28" w:rsidP="00407D28">
      <w:r w:rsidRPr="001267A7">
        <w:t xml:space="preserve">    Покупка стажа и баллов. Можно оформить добровольное пенсионное страхование, перечислять деньги в СФР и повышать стаж и баллы. Здесь тоже не обошлось без ограничений. Работающие не могут купить стаж, только баллы — и так, чтобы в сумме со взносами работодателя за год вышло не более 10 ИПК. Неработающие могут купить и баллы, и стаж, но в последнем тоже есть ограничение, не более половины стажа. Правило не распространяется на самозанятых.</w:t>
      </w:r>
    </w:p>
    <w:p w14:paraId="7E2A5FD2" w14:textId="77777777" w:rsidR="00407D28" w:rsidRPr="001267A7" w:rsidRDefault="00407D28" w:rsidP="00407D28">
      <w:r w:rsidRPr="001267A7">
        <w:t xml:space="preserve">    К слову, самозанятые по умолчанию вообще не делают отчислений, у них ни стаж, ни баллы не копятся. И если они не будут делать добровольные отчисления, пенсия им светит только социальная. Программа может быть актуальной и для ИП. Они платят в СФР фиксированную сумму, если доход в год меньше 300 000 рублей, то ИПК будет меньше балла.</w:t>
      </w:r>
    </w:p>
    <w:p w14:paraId="3AAB05FC" w14:textId="77777777" w:rsidR="00407D28" w:rsidRPr="001267A7" w:rsidRDefault="00407D28" w:rsidP="00407D28">
      <w:r w:rsidRPr="001267A7">
        <w:lastRenderedPageBreak/>
        <w:t xml:space="preserve">    Участие в негосударственных программах накоплений. Уже достаточно долго НПФ предлагают негосударственные пенсионные планы. Вы подписываете договор, делаете отчисления (лично или через работодателя), а ближе к старости начинаете получать деньги. Сколько и как долго зависит от суммы ваших отчислений и от того, какой план вы выберете, есть и пожизненные выплаты, и выплаты на определенное количество лет.</w:t>
      </w:r>
    </w:p>
    <w:p w14:paraId="4E116758" w14:textId="77777777" w:rsidR="00407D28" w:rsidRPr="001267A7" w:rsidRDefault="00407D28" w:rsidP="00407D28">
      <w:r w:rsidRPr="001267A7">
        <w:t xml:space="preserve">    Программа долгосрочных сбережений. Похожа на предыдущий вариант, только с дополнительными бонусами. Десять лет государство будет софинансировать вас, можно получить 240 000 рублей, вложив столько же (это по 2000 рублей в месяц). Выплачивать деньги начнут в предпенсионном возрасте, женщинам в 55 лет, мужчинам в 60 лет. И эти средства наследуются, в отличае от государственной пенсии.</w:t>
      </w:r>
    </w:p>
    <w:p w14:paraId="0CB669CC" w14:textId="77777777" w:rsidR="00407D28" w:rsidRPr="001267A7" w:rsidRDefault="00407D28" w:rsidP="00407D28">
      <w:r w:rsidRPr="001267A7">
        <w:t xml:space="preserve">    Копить деньги на вкладах, инвестировать в ценные бумаги, золото, недвижимость и другие активы. Откладывать средства на старость можно разными способами, в том числе на депозитах в банках — сейчас процент достаточно высокий, но как только инфляция устаканится, его снизят.</w:t>
      </w:r>
    </w:p>
    <w:p w14:paraId="4D056DE2" w14:textId="77777777" w:rsidR="00407D28" w:rsidRPr="001267A7" w:rsidRDefault="00407D28" w:rsidP="00407D28">
      <w:r w:rsidRPr="001267A7">
        <w:t>Можно покупать акции или облигации, для этого надо разобраться в том, как устроена биржа и следить за происходящими там событиями. Или скупать недвижимость, да-да, поставьте в план на ближайший четверг прикупить пару квартирок в пределах МКАДа. Можно даже зарабатывать на криптовалюте с расчетом, что к вашей пенсии биткоин вырастет еще больше. Но в этом случае необходимо не только разбираться, как это устроено, но и понимать степень риска.</w:t>
      </w:r>
    </w:p>
    <w:p w14:paraId="64554879" w14:textId="77777777" w:rsidR="00407D28" w:rsidRPr="001267A7" w:rsidRDefault="00407D28" w:rsidP="00407D28">
      <w:hyperlink r:id="rId36" w:history="1">
        <w:r w:rsidRPr="001267A7">
          <w:rPr>
            <w:rStyle w:val="a3"/>
          </w:rPr>
          <w:t>https://pensiya.pro/kakoj-budet-pensiya-esli-vam-sejchas-30-50-let-podrobnyj-raschet/</w:t>
        </w:r>
      </w:hyperlink>
      <w:r w:rsidRPr="001267A7">
        <w:t xml:space="preserve"> </w:t>
      </w:r>
    </w:p>
    <w:p w14:paraId="36CA2DD6" w14:textId="77777777" w:rsidR="0071274D" w:rsidRPr="001267A7" w:rsidRDefault="0071274D" w:rsidP="0071274D">
      <w:pPr>
        <w:pStyle w:val="2"/>
      </w:pPr>
      <w:bookmarkStart w:id="106" w:name="_Toc198618905"/>
      <w:r w:rsidRPr="001267A7">
        <w:t>DEITA.RU, 19.05.2025, Из-за каких ошибок россияне теряют деньги, объяснили в Сбербанке</w:t>
      </w:r>
      <w:bookmarkEnd w:id="106"/>
    </w:p>
    <w:p w14:paraId="054D4975" w14:textId="77777777" w:rsidR="0071274D" w:rsidRPr="001267A7" w:rsidRDefault="0071274D" w:rsidP="00593D6A">
      <w:pPr>
        <w:pStyle w:val="3"/>
      </w:pPr>
      <w:bookmarkStart w:id="107" w:name="_Toc198618906"/>
      <w:r w:rsidRPr="001267A7">
        <w:t>Неиспользование накопительной пенсии, отказ от налоговых льгот и недооценка корпоративных пенсионных программ могут существенно негативно сказаться на финансовом состоянии человека. Об этом рассказала исполнительный директор «СберНПФ» Алла Пальшина, как сообщает ИА DEITA.RU.</w:t>
      </w:r>
      <w:bookmarkEnd w:id="107"/>
    </w:p>
    <w:p w14:paraId="0107B166" w14:textId="77777777" w:rsidR="0071274D" w:rsidRPr="001267A7" w:rsidRDefault="0071274D" w:rsidP="0071274D">
      <w:r w:rsidRPr="001267A7">
        <w:t>Многие россияне имеют средства накопительной пенсии, однако часто не знают о них или не понимают, как ими воспользоваться, отмечает эксперт. По её словам, граждане нередко не подают заявки на выплаты или делают это на невыгодных условиях.</w:t>
      </w:r>
    </w:p>
    <w:p w14:paraId="1F2D49C2" w14:textId="77777777" w:rsidR="0071274D" w:rsidRPr="001267A7" w:rsidRDefault="0071274D" w:rsidP="0071274D">
      <w:r w:rsidRPr="001267A7">
        <w:t>Чтобы избежать таких ошибок, Пальшина рекомендует выяснить, где находятся средства накопительной пенсии, и выбрать наиболее выгодный способ их получения: через систему обязательного пенсионного страхования или программу долгосрочных сбережений.</w:t>
      </w:r>
    </w:p>
    <w:p w14:paraId="277357B1" w14:textId="77777777" w:rsidR="0071274D" w:rsidRPr="001267A7" w:rsidRDefault="0071274D" w:rsidP="0071274D">
      <w:r w:rsidRPr="001267A7">
        <w:t>Если перевести средства накопительной пенсии в ПДС, можно получить всю сумму после 15 лет участия в программе или установить удобные выплаты на срок от пяти лет при достижении 55 лет для женщин и 60 лет для мужчин.</w:t>
      </w:r>
    </w:p>
    <w:p w14:paraId="0EF7F9D5" w14:textId="77777777" w:rsidR="0071274D" w:rsidRPr="001267A7" w:rsidRDefault="0071274D" w:rsidP="0071274D">
      <w:r w:rsidRPr="001267A7">
        <w:t>Эксперт также подчеркивает, что в случае непредвиденных жизненных обстоятельств, таких как необходимость дорогостоящего лечения или утрата кормильца, доступ к средствам будет мгновенным. В системе ОПС такие возможности отсутствуют.</w:t>
      </w:r>
    </w:p>
    <w:p w14:paraId="5A381803" w14:textId="77777777" w:rsidR="0071274D" w:rsidRPr="001267A7" w:rsidRDefault="0071274D" w:rsidP="0071274D">
      <w:r w:rsidRPr="001267A7">
        <w:lastRenderedPageBreak/>
        <w:t>Пальшина также обращает внимание на налоговые вычеты как на реальный способ увеличения сбережений. Например, возврат уплаченных налогов предусмотрен по программе долгосрочных сбережений. При максимальном взносе в 400 тысяч рублей возврат НДФЛ по ставке 13% составит 52 тысячи рублей в год.</w:t>
      </w:r>
    </w:p>
    <w:p w14:paraId="34FE130E" w14:textId="77777777" w:rsidR="0071274D" w:rsidRPr="001267A7" w:rsidRDefault="0071274D" w:rsidP="0071274D">
      <w:r w:rsidRPr="001267A7">
        <w:t>Корпоративные пенсионные программы являются ещё одним эффективным инструментом для долгосрочного накопления, добавляет эксперт. Однако уровень участия сотрудников в таких программах остаётся низким, несмотря на их доступность.</w:t>
      </w:r>
    </w:p>
    <w:p w14:paraId="122DC7B8" w14:textId="77777777" w:rsidR="00302175" w:rsidRPr="001267A7" w:rsidRDefault="0071274D" w:rsidP="0071274D">
      <w:r w:rsidRPr="001267A7">
        <w:t>Многие компании софинансируют корпоративные пенсии своих сотрудников, выплачивая фиксированную сумму или процент от зарплаты. Взносы на корпоративную пенсию не облагаются НДФЛ, что увеличивает чистый доход работников. Кроме того, средства инвестируются и со временем растут, заключила Пальшина.</w:t>
      </w:r>
    </w:p>
    <w:p w14:paraId="0153AA33" w14:textId="77777777" w:rsidR="0071274D" w:rsidRPr="001267A7" w:rsidRDefault="0071274D" w:rsidP="0071274D">
      <w:hyperlink r:id="rId37" w:history="1">
        <w:r w:rsidRPr="001267A7">
          <w:rPr>
            <w:rStyle w:val="a3"/>
          </w:rPr>
          <w:t>https://deita.ru/article/569528</w:t>
        </w:r>
      </w:hyperlink>
    </w:p>
    <w:p w14:paraId="01B51D87" w14:textId="77777777" w:rsidR="00407D28" w:rsidRPr="001267A7" w:rsidRDefault="00407D28" w:rsidP="00407D28">
      <w:pPr>
        <w:pStyle w:val="2"/>
      </w:pPr>
      <w:bookmarkStart w:id="108" w:name="_Toc198618907"/>
      <w:r w:rsidRPr="001267A7">
        <w:t>Пенсия.pro, 19.05.2025, Пенсионный возраст могут повысить до 80 лет — ВЦИОМ</w:t>
      </w:r>
      <w:bookmarkEnd w:id="108"/>
    </w:p>
    <w:p w14:paraId="1C3A83F6" w14:textId="77777777" w:rsidR="00407D28" w:rsidRPr="001267A7" w:rsidRDefault="00407D28" w:rsidP="00593D6A">
      <w:pPr>
        <w:pStyle w:val="3"/>
      </w:pPr>
      <w:bookmarkStart w:id="109" w:name="_Toc198618908"/>
      <w:r w:rsidRPr="001267A7">
        <w:t>Всероссийский центр изучения общественного мнения (ВЦИОМ) составил четырех демографических сценария, которые ждут Россию в ближайшие десятилетия. Ни один из них не является абсолютно хорошим или абсолютно плохим. Сейчас, по мнению экспертов ВЦИОМ, страна переживает «демографическую осень».</w:t>
      </w:r>
      <w:bookmarkEnd w:id="109"/>
    </w:p>
    <w:p w14:paraId="0BE53106" w14:textId="77777777" w:rsidR="00407D28" w:rsidRPr="001267A7" w:rsidRDefault="00407D28" w:rsidP="00407D28">
      <w:r w:rsidRPr="001267A7">
        <w:t>Название «осень» появилась из-за того, что в России наблюдается спад рождаемости и, как следствием, старение населения. Самым неблагоприятным исходом данной картины будет «демографическая зима». В этом случае Россия столкнется со значительным падением рождаемости и продолжением старения граждан. Согласно докладу, результатом станет снижение численности населения вдвое к концу 21 века. В этих условиях власти вынуждены будут повысить пенсионный возраст до 80 лет, причем случится это уже в середине столетия. Демограф Алексей Ракша считает именно этот сценарий наиболее реальным.</w:t>
      </w:r>
    </w:p>
    <w:p w14:paraId="7296644B" w14:textId="77777777" w:rsidR="00407D28" w:rsidRPr="001267A7" w:rsidRDefault="00407D28" w:rsidP="00407D28">
      <w:r w:rsidRPr="001267A7">
        <w:t>Наиболее благоприятные прогнозы — это «оттепель» и даже «демографическое лето». «Оттепель» подразумевает рост количества новорожденных на 15 % по сравнению с уровнем 2024 года (что составит 1,22 миллиона детей). Это возможно, если получится отделить социальную политику от демографических процессов. «Демографического лето» характеризуется высокой рождаемостью, ранними материнскими возрастами и увеличением продолжительности жизни.</w:t>
      </w:r>
    </w:p>
    <w:p w14:paraId="0E9280C8" w14:textId="77777777" w:rsidR="00407D28" w:rsidRPr="001267A7" w:rsidRDefault="00407D28" w:rsidP="00407D28">
      <w:r w:rsidRPr="001267A7">
        <w:t>Для этого властям нужно отделить демографическую политику от социальной и тратить на нее ежегодно 0,7-1% бюджета страны, отмечают ученые. Также нужно ввести безусловный маткапитал в 1,5-2 млн рублей за рождение второго и последующих детей. Бюджету такая мера обойдется в 1,2 трлн рублей в год, что эквивалентно 0,5% ВВП либо 2,5 % расходной части бюджета, подсчитал Ракша.</w:t>
      </w:r>
    </w:p>
    <w:p w14:paraId="25632757" w14:textId="77777777" w:rsidR="00407D28" w:rsidRPr="001267A7" w:rsidRDefault="00407D28" w:rsidP="00407D28">
      <w:r w:rsidRPr="001267A7">
        <w:t xml:space="preserve">Падения коэффициента рождаемости на 0,1 ребенка на одну женщину может вынудить власти поднимать пенсионный возраст на один год, отметил ранее демограф. По его </w:t>
      </w:r>
      <w:r w:rsidRPr="001267A7">
        <w:lastRenderedPageBreak/>
        <w:t>мнению, если бы в России у всех было по трое детей, пенсионный возраст с нашей продолжительностью жизни мог бы составлять 55 лет.</w:t>
      </w:r>
    </w:p>
    <w:p w14:paraId="67E8EE4C" w14:textId="77777777" w:rsidR="00407D28" w:rsidRPr="001267A7" w:rsidRDefault="00407D28" w:rsidP="00407D28">
      <w:hyperlink r:id="rId38" w:history="1">
        <w:r w:rsidRPr="001267A7">
          <w:rPr>
            <w:rStyle w:val="a3"/>
          </w:rPr>
          <w:t>https://pensiya.pro/news/pensionnyj-vozrast-mogut-povysit-do-80-let-vcziom/</w:t>
        </w:r>
      </w:hyperlink>
      <w:r w:rsidRPr="001267A7">
        <w:t xml:space="preserve"> </w:t>
      </w:r>
    </w:p>
    <w:p w14:paraId="6E0AD490" w14:textId="77777777" w:rsidR="0071274D" w:rsidRDefault="0071274D" w:rsidP="0071274D"/>
    <w:p w14:paraId="30899B4A" w14:textId="77777777" w:rsidR="000B1BAB" w:rsidRDefault="000B1BAB" w:rsidP="000B1BAB">
      <w:pPr>
        <w:pStyle w:val="2"/>
      </w:pPr>
      <w:bookmarkStart w:id="110" w:name="_Toc198618909"/>
      <w:r>
        <w:t>АиФ, 19.05.2025</w:t>
      </w:r>
      <w:r w:rsidRPr="000B1BAB">
        <w:t xml:space="preserve">, </w:t>
      </w:r>
      <w:r>
        <w:t>Уже в августе. Озвучено, насколько вырастут пенсии работающих пенсионеров</w:t>
      </w:r>
      <w:bookmarkEnd w:id="110"/>
    </w:p>
    <w:p w14:paraId="2A172CD7" w14:textId="77777777" w:rsidR="000B1BAB" w:rsidRDefault="000B1BAB" w:rsidP="000B1BAB">
      <w:pPr>
        <w:pStyle w:val="3"/>
      </w:pPr>
      <w:bookmarkStart w:id="111" w:name="_Toc198618910"/>
      <w:r>
        <w:t>Пенсии работающих пенсионеров с 1 августа вырастут минимум на 64 рубля, а максимум - на 400. Об этом aif.ru рассказала доцент базовой кафедры Торгово-промышленной палаты РФ «Управление человеческими ресурсами» РЭУ имени Плеханова Людмила Иванова-Швец.</w:t>
      </w:r>
      <w:bookmarkEnd w:id="111"/>
    </w:p>
    <w:p w14:paraId="56200E78" w14:textId="77777777" w:rsidR="000B1BAB" w:rsidRDefault="000B1BAB" w:rsidP="000B1BAB">
      <w:r>
        <w:t>«Еще после отмены индексации пенсий для работающих пенсионеров ежегодно с 1 августа происходил пересмотр пенсий с учетом заработанных индивидуальных пенсионных коэффициентов (ИПК), - рассказала эксперт. -Пенсия работающих пенсионеров могла увеличиться максимум на три ИПК. Особенность в том, что стоимость этих баллов для каждого пенсионера учитывалась в том размере, по которому пенсионеру рассчитывали страховую пенсию».</w:t>
      </w:r>
    </w:p>
    <w:p w14:paraId="26D7EDAF" w14:textId="77777777" w:rsidR="000B1BAB" w:rsidRDefault="000B1BAB" w:rsidP="000B1BAB">
      <w:r>
        <w:t>С января 2025 года возобновили индексацию пенсий работающим пенсионерам, но при этом перерасчет пенсий с 1 августа на стоимость заработанных ИПК тоже остается.</w:t>
      </w:r>
    </w:p>
    <w:p w14:paraId="44C60F1E" w14:textId="77777777" w:rsidR="000B1BAB" w:rsidRDefault="000B1BAB" w:rsidP="000B1BAB">
      <w:r>
        <w:t>«Таким образом, работающие пенсионеры могут рассчитывать на доплаты к своим пенсиям с минимума 64,1 рубля до максимума 399,15 рубля, - добавила Иванова-Швец. - Первая сумма - это стоимость 1 ИПК на 2015 год, а максимум - стоимость 3 ИПК на 2024 год».</w:t>
      </w:r>
    </w:p>
    <w:p w14:paraId="7D3EC2BE" w14:textId="77777777" w:rsidR="000B1BAB" w:rsidRDefault="000B1BAB" w:rsidP="000B1BAB">
      <w:r>
        <w:t>Но это далеко не все приятные новости для пенсионеров этим летом. Как ранее сообщали эксперты, граждане, которым в июне исполняется 80 лет, могут рассчитывать на удвоение фиксированной части пенсии. В 2025 году эта выплата составляет 8 907,7 рубля - до 17 815,4 рубля. И это, не считая размера страховой части пенсии, которая, разумеется, тоже сохранится и продолжится индексироваться ежегодно.</w:t>
      </w:r>
    </w:p>
    <w:p w14:paraId="6BC1F2D9" w14:textId="77777777" w:rsidR="000B1BAB" w:rsidRDefault="000B1BAB" w:rsidP="000B1BAB">
      <w:r>
        <w:t>Кстати, с 2026 года страховые пенсии будут индексироваться дважды. В феврале - на процент итоговой инфляции за прошедший год, а в апреле - на уровень роста доходов Соцфонда.</w:t>
      </w:r>
    </w:p>
    <w:p w14:paraId="0A8E6A8B" w14:textId="77777777" w:rsidR="000B1BAB" w:rsidRDefault="000B1BAB" w:rsidP="000B1BAB">
      <w:hyperlink r:id="rId39" w:history="1">
        <w:r w:rsidRPr="004F3F00">
          <w:rPr>
            <w:rStyle w:val="a3"/>
          </w:rPr>
          <w:t>https://aif.ru/money/mymoney/uzhe-v-avguste-ozvucheno-naskolko-vyrastut-pensii-rabotayushchih-pensionerov</w:t>
        </w:r>
      </w:hyperlink>
      <w:r>
        <w:t xml:space="preserve"> </w:t>
      </w:r>
    </w:p>
    <w:p w14:paraId="149A05C7" w14:textId="77777777" w:rsidR="000B1BAB" w:rsidRDefault="000B1BAB" w:rsidP="000B1BAB">
      <w:pPr>
        <w:pStyle w:val="2"/>
      </w:pPr>
      <w:bookmarkStart w:id="112" w:name="_Toc198618911"/>
      <w:r>
        <w:lastRenderedPageBreak/>
        <w:t>Выберу.ру, 19.05.2025</w:t>
      </w:r>
      <w:r w:rsidRPr="000B1BAB">
        <w:t xml:space="preserve">, </w:t>
      </w:r>
      <w:r>
        <w:t>Не только Сбербанк. Пенсию можно будет получать в любом банке</w:t>
      </w:r>
      <w:bookmarkEnd w:id="112"/>
    </w:p>
    <w:p w14:paraId="73DC6E5E" w14:textId="77777777" w:rsidR="000B1BAB" w:rsidRDefault="000B1BAB" w:rsidP="000B1BAB">
      <w:pPr>
        <w:pStyle w:val="3"/>
      </w:pPr>
      <w:bookmarkStart w:id="113" w:name="_Toc198618912"/>
      <w:r>
        <w:t>«Пенсионное рабство» отменили давно. По закону пенсию или пособие можно получать на карту, выпущенную любым банком. Главное, что бы эта была карта «Мир». Но есть нюанс. У банка должен быть договор с Социальным фондом России или пенсионным отделом силового ведомства, если речь идёт о военной пенсии. А заключить его не так-то просто. В итоге пенсионеры и получатели пособий ограничены несколькими банками. ЦБ и ФАС планируют положить конец этому «пенсионному квазирабству».</w:t>
      </w:r>
      <w:bookmarkEnd w:id="113"/>
    </w:p>
    <w:p w14:paraId="6A830C80" w14:textId="77777777" w:rsidR="000B1BAB" w:rsidRDefault="000B1BAB" w:rsidP="000B1BAB">
      <w:r>
        <w:t>В нашей стране работают больше 300 банков. Однако пенсии и пособия можно получать только в нескольких банках. Хотя формально закон позволяет выбрать любую кредитную организацию.</w:t>
      </w:r>
    </w:p>
    <w:p w14:paraId="40836A2F" w14:textId="77777777" w:rsidR="000B1BAB" w:rsidRDefault="000B1BAB" w:rsidP="000B1BAB">
      <w:r>
        <w:t>ЦБ и Федеральная антимонопольная служба (ФАС) собираются искоренить дискриминацию на рынке, пишет РБК на ссылкой на проект Национального плана развития конкуренции в России на 2026-2030 годы. Как заявил изданию представитель ЦБ, механизм пенсионных и социальных выплат будет улучшен «за счёт предоставления возможности им самим выбирать банк, где им комфортнее и выгоднее обслуживаться». Как именно власти планируют этого добиться, не уточняется.</w:t>
      </w:r>
    </w:p>
    <w:p w14:paraId="0C8D6531" w14:textId="77777777" w:rsidR="000B1BAB" w:rsidRDefault="000B1BAB" w:rsidP="000B1BAB">
      <w:r>
        <w:t>Между тем, проблема существует. Дело не только в том, что человек не может выбрать банк, который ему нравится, но и в том, что сотрудники «Почты России» вводят людей в заблуждение. По словам старшего проектного лидера Frank RG Анны Стогниенко, были случаи, когда пенсионерам на почте выдавали карты «Почта Банка» или в Социальном фонде при оформлении пенсии просили реквизиты именно Сбербанка.</w:t>
      </w:r>
    </w:p>
    <w:p w14:paraId="276FD3A8" w14:textId="77777777" w:rsidR="000B1BAB" w:rsidRDefault="000B1BAB" w:rsidP="000B1BAB">
      <w:r>
        <w:t>Будем надеяться, что со временем люди смогут получать пенсии и пособия на те карты, которые им действительно нравятся. Пока же можно подобрать выгодную дебетовую карту с помощью одноимённого сервиса «Выберу.ру». Если повезёт, то на неё будут приходить выплаты из бюджета. Нет, значит, пользуйтесь переводами - до 30 млн рублей в месяц бесплатно.</w:t>
      </w:r>
    </w:p>
    <w:p w14:paraId="0817991E" w14:textId="77777777" w:rsidR="000B1BAB" w:rsidRDefault="000B1BAB" w:rsidP="000B1BAB">
      <w:r>
        <w:t>Анастасия Гостищева, Анастасия Гостищева</w:t>
      </w:r>
    </w:p>
    <w:p w14:paraId="0C59D983" w14:textId="77777777" w:rsidR="000B1BAB" w:rsidRDefault="000B1BAB" w:rsidP="000B1BAB">
      <w:hyperlink r:id="rId40" w:history="1">
        <w:r w:rsidRPr="004F3F00">
          <w:rPr>
            <w:rStyle w:val="a3"/>
          </w:rPr>
          <w:t>https://www.vbr.ru/help/novosti/ne-tolko-sberbank-pensiu-polycat-v-lubom-banke-75147/</w:t>
        </w:r>
      </w:hyperlink>
      <w:r w:rsidRPr="000B1BAB">
        <w:t xml:space="preserve"> </w:t>
      </w:r>
    </w:p>
    <w:p w14:paraId="6DFA203F" w14:textId="77777777" w:rsidR="000B1BAB" w:rsidRDefault="000B1BAB" w:rsidP="000B1BAB"/>
    <w:p w14:paraId="2FB410CA" w14:textId="77777777" w:rsidR="000B1BAB" w:rsidRDefault="000B1BAB" w:rsidP="00DF4A96">
      <w:pPr>
        <w:pStyle w:val="2"/>
      </w:pPr>
      <w:bookmarkStart w:id="114" w:name="_Toc198618913"/>
      <w:r>
        <w:t>МК, 20.05.2025</w:t>
      </w:r>
      <w:r w:rsidRPr="000B1BAB">
        <w:t xml:space="preserve">, </w:t>
      </w:r>
      <w:r>
        <w:t>Разрыв пенсионного шаблона</w:t>
      </w:r>
      <w:bookmarkEnd w:id="114"/>
    </w:p>
    <w:p w14:paraId="29F4F19F" w14:textId="77777777" w:rsidR="000B1BAB" w:rsidRDefault="000B1BAB" w:rsidP="00DF4A96">
      <w:pPr>
        <w:pStyle w:val="3"/>
      </w:pPr>
      <w:bookmarkStart w:id="115" w:name="_Toc198618914"/>
      <w:r>
        <w:t>У работающих пенсионеров к 1 апрелю этого года пенсия выросла на 150 рублей, дойдя до 22 тыс. Об этом свидетельствуют данные Единой межведомственной информационно-статистической системы (ЕМИСС). При этом пенсия у работающих граждан оказалась почти на 3,8 тыс. рублей меньше суммы, которую получают незанятые россияне. Чем объясняется такой разрыв в государственных соцвыплатах и будет ли он в будущем сокращаться, «МК» выяснил у экспертов.</w:t>
      </w:r>
      <w:bookmarkEnd w:id="115"/>
    </w:p>
    <w:p w14:paraId="34E62B3E" w14:textId="77777777" w:rsidR="000B1BAB" w:rsidRDefault="000B1BAB" w:rsidP="000B1BAB">
      <w:r>
        <w:t xml:space="preserve">В первом квартале 2025 года размер средней страховой пенсии для работающих пенсионеров достиг 22 тыс. рублей, увеличившись на 150 рублей. Несмотря на усилия </w:t>
      </w:r>
      <w:r>
        <w:lastRenderedPageBreak/>
        <w:t>властей по сокращению разницы в выплатах работающим и незанятым пенсионерам, в том числе возобновление индексации и другие шаги, направленные на выравнивание условий для людей старшего поколения, разница в выплатах все еще достаточно существенная. Так, к 1 апреля этого года неработающим россиянам в соответствующем возрасте начисляли 25,8 тыс. рублей, согласно данным ЕМИСС. Любопытно, что их пенсия выросла за первый квартал ещё меньше — всего на 55 рублей. В итоге разница между выплатами работающих и незанятых пенсионеров составила практически 3,8 тыс. рублей. За первый квартал этот разрыв сократился лишь на 100 рублей. Любопытно, что за тот же период прошлого года он снизился на 300 рублей.</w:t>
      </w:r>
    </w:p>
    <w:p w14:paraId="7D15B220" w14:textId="77777777" w:rsidR="000B1BAB" w:rsidRDefault="000B1BAB" w:rsidP="000B1BAB">
      <w:r>
        <w:t>«Разрыв между размерами средней пенсии по старости у неработающих и работающих пенсионеров связан, в первую очередь, с тем, что ранее при сохранении занятости работающему пенсионеру пенсию не индексировали, — поясняет ситуацию профессор Финансового университета Александр Сафонов. — Во-вторых, в когорте тех пенсионеров, которые не стали продолжать трудиться, больше людей с более высокими размерами пенсий. Поэтому даже после того, как размеры пенсий этих двух групп уровняются в результате одинакового подхода к ежегодной индексации, останется разница в размерах, связанная с прежним стажем и уровнем оплаты труда, а также северными коэффициентами». На самом деле разрыв в почти 3,8 тыс. рублей не очень высокий. Для примера: если бы два работника в возрасте 60 лет в 2013 году одновременно вышли на пенсию и им была начислена пенсия в размере 20 тыс. рублей, то к 2024 году разница в размере пенсии между работающим и неработающим пенсионерами составила бы 17 тыс. рублей — из-за отсутствия индексации для работающего. В будущем разница в размерах пенсий работающих и неработающих пенсионеров будет определяться только низкой пенсией работающих из-за маленького стажа или небольшой зарплаты, считает эксперт.</w:t>
      </w:r>
    </w:p>
    <w:p w14:paraId="445F7634" w14:textId="77777777" w:rsidR="000B1BAB" w:rsidRDefault="000B1BAB" w:rsidP="000B1BAB">
      <w:r>
        <w:t>Как пояснила профессор кафедры государственных и муниципальных финансов РЭУ им. Плеханова Юлия Финогенова, текущий разрыв объясняется тем, что у работающего пенсионера размер выплаты рассчитывается как текущая пенсия (без индексации за 2016-2024 год), увеличенная на размер индексации, которую он получал бы, если бы прекратил работать. При этом база (размер получаемой пенсии) остается прежней. То есть в 2025 году к фактически не индексируемой пенсии прибавляется сумма индексации максимально возможной пенсии (размер фиксированной выплаты 8907,7 рубля) и стоимость одного индивидуального пенсионного коэффициента (ИПК), которая составляет 145,69 рубля. Однако более высокий размер самой пенсии с учетом индексации 2016-2025 годов можно будет получить только после прекращения работы. У неработающих пенсионеров априори выше размер получаемой пенсии, поскольку она включает в себя индексации за прошлые периоды. Поскольку у работающих пенсионеров с 2016 года пенсия не индексировалась до 2025 года, она увеличивалась только на размер ИПК, которые начислялись работающему пенсионеру, исходя из взносов в Фонд оплаты труда (ФОТ) работодателями, причем максимальный размер ИПК до сих пор ограничен тремя баллами, пояснила ученый.</w:t>
      </w:r>
    </w:p>
    <w:p w14:paraId="1D46770B" w14:textId="77777777" w:rsidR="000B1BAB" w:rsidRDefault="000B1BAB" w:rsidP="000B1BAB">
      <w:r>
        <w:t xml:space="preserve">«Разрыв между пенсиями работающих и неработающих пенсионеров, хотя составляет около 3800 рублей, то есть около 15%, не слишком критичен, — считает ведущий аналитик Freedom Finance Global Наталья Мильчакова. — Этот разрыв вызван тем, что пенсии работающих пенсионеров долго не индексировались. Однако по мере того как правительство начнёт индексировать пенсии сразу всем группам пенсионеров, разрыв в </w:t>
      </w:r>
      <w:r>
        <w:lastRenderedPageBreak/>
        <w:t>номинальном размере пенсий может сократиться». Как это ни странно, но в уменьшении разрыва определённую роль может сыграть рост инфляции в стране: чем она выше, тем на большую величину будут индексироваться пенсии. Скорее всего, разрыв пенсий работающих и неработающих пенсионеров может значительно сократиться к 2027-2028 годам, по мере роста зарплат в России и индексации правительством пенсий всех групп получателей, утверждает аналитик. Однако, по ее мнению, определенная разница в доходах у трудящихся и незанятых пенсионеров будет оставаться всегда.</w:t>
      </w:r>
    </w:p>
    <w:p w14:paraId="3351A5C8" w14:textId="77777777" w:rsidR="000B1BAB" w:rsidRPr="00364B06" w:rsidRDefault="000B1BAB" w:rsidP="000B1BAB">
      <w:r>
        <w:t>Наталия Трушина</w:t>
      </w:r>
      <w:r w:rsidRPr="00364B06">
        <w:t xml:space="preserve"> </w:t>
      </w:r>
    </w:p>
    <w:p w14:paraId="5E51B9C1" w14:textId="77777777" w:rsidR="000B1BAB" w:rsidRPr="00364B06" w:rsidRDefault="000B1BAB" w:rsidP="000B1BAB"/>
    <w:p w14:paraId="005001A0" w14:textId="77777777" w:rsidR="00DF4A96" w:rsidRPr="00DF4A96" w:rsidRDefault="00DF4A96" w:rsidP="00DF4A96">
      <w:pPr>
        <w:pStyle w:val="2"/>
      </w:pPr>
      <w:bookmarkStart w:id="116" w:name="_Toc198618915"/>
      <w:r w:rsidRPr="00DF4A96">
        <w:t>Российская газета, 20.05.2025, В помощь детям</w:t>
      </w:r>
      <w:bookmarkEnd w:id="116"/>
    </w:p>
    <w:p w14:paraId="185B08CE" w14:textId="7E70B613" w:rsidR="00DF4A96" w:rsidRPr="00DF4A96" w:rsidRDefault="00DF4A96" w:rsidP="00DF4A96">
      <w:pPr>
        <w:pStyle w:val="3"/>
      </w:pPr>
      <w:bookmarkStart w:id="117" w:name="_Toc198618916"/>
      <w:r w:rsidRPr="00DF4A96">
        <w:t xml:space="preserve">Пожилые люди, на иждивении которых находятся </w:t>
      </w:r>
      <w:r w:rsidR="00364B06" w:rsidRPr="00DF4A96">
        <w:t>нетрудоспособные родственники</w:t>
      </w:r>
      <w:r w:rsidRPr="00DF4A96">
        <w:t xml:space="preserve">, могут получать повышенную пенсию, если будут приняты </w:t>
      </w:r>
      <w:r w:rsidR="00364B06" w:rsidRPr="00DF4A96">
        <w:t>поправки в</w:t>
      </w:r>
      <w:r w:rsidRPr="00DF4A96">
        <w:t xml:space="preserve"> законодательство, внесенные в Госдуму.</w:t>
      </w:r>
      <w:bookmarkEnd w:id="117"/>
    </w:p>
    <w:p w14:paraId="776D8AB8" w14:textId="50366E85" w:rsidR="00DF4A96" w:rsidRPr="00DF4A96" w:rsidRDefault="00DF4A96" w:rsidP="00DF4A96">
      <w:r w:rsidRPr="00DF4A96">
        <w:t xml:space="preserve">Автор законопроекта, с которым ознакомилась "Российская газета", </w:t>
      </w:r>
      <w:r w:rsidR="00364B06" w:rsidRPr="00DF4A96">
        <w:t>глава Комитета</w:t>
      </w:r>
      <w:r w:rsidRPr="00DF4A96">
        <w:t xml:space="preserve"> Госдумы по труду, соцзащите и делам ветеранов Ярослав </w:t>
      </w:r>
      <w:r w:rsidR="00364B06" w:rsidRPr="00DF4A96">
        <w:t>Нилов напомнил</w:t>
      </w:r>
      <w:r w:rsidRPr="00DF4A96">
        <w:t xml:space="preserve">, что сейчас законом предусмотрено увеличение размеров </w:t>
      </w:r>
      <w:r w:rsidR="00364B06" w:rsidRPr="00DF4A96">
        <w:t>пенсий гражданам</w:t>
      </w:r>
      <w:r w:rsidRPr="00DF4A96">
        <w:t xml:space="preserve">, на иждивении которых находятся нетрудоспособные члены семьи. </w:t>
      </w:r>
      <w:r w:rsidR="00364B06" w:rsidRPr="00DF4A96">
        <w:t>К страховым</w:t>
      </w:r>
      <w:r w:rsidRPr="00DF4A96">
        <w:t xml:space="preserve"> пенсиям (по старости или инвалидности) устанавливается </w:t>
      </w:r>
      <w:r w:rsidR="00364B06" w:rsidRPr="00DF4A96">
        <w:t>повышенная фиксированная</w:t>
      </w:r>
      <w:r w:rsidRPr="00DF4A96">
        <w:t xml:space="preserve"> выплата. В большинстве своем такое повышение </w:t>
      </w:r>
      <w:r w:rsidR="00364B06" w:rsidRPr="00DF4A96">
        <w:t>устанавливается пенсионерам</w:t>
      </w:r>
      <w:r w:rsidRPr="00DF4A96">
        <w:t>, имеющим на иждивении несовершеннолетних детей.</w:t>
      </w:r>
    </w:p>
    <w:p w14:paraId="406FB2C8" w14:textId="59FB59A4" w:rsidR="00DF4A96" w:rsidRPr="00DF4A96" w:rsidRDefault="00DF4A96" w:rsidP="00DF4A96">
      <w:r w:rsidRPr="00DF4A96">
        <w:t xml:space="preserve">Но повышение пенсий устанавливается не более чем на трех членов семьи.  "Подготовленный законопроект направлен на исключение </w:t>
      </w:r>
      <w:r w:rsidR="00364B06" w:rsidRPr="00DF4A96">
        <w:t>существующего ограничения</w:t>
      </w:r>
      <w:r w:rsidRPr="00DF4A96">
        <w:t xml:space="preserve"> по числу нетрудоспособных иждивенцев, что в должной мере </w:t>
      </w:r>
      <w:r w:rsidR="00364B06" w:rsidRPr="00DF4A96">
        <w:t>будет способствовать</w:t>
      </w:r>
      <w:r w:rsidRPr="00DF4A96">
        <w:t xml:space="preserve"> повышению уровня материального обеспечения семей, </w:t>
      </w:r>
      <w:r w:rsidR="00364B06" w:rsidRPr="00DF4A96">
        <w:t>в особенности</w:t>
      </w:r>
      <w:r w:rsidRPr="00DF4A96">
        <w:t xml:space="preserve"> многодетных", - подчеркивает Нилов.</w:t>
      </w:r>
    </w:p>
    <w:p w14:paraId="182A6AF7" w14:textId="672C941D" w:rsidR="00DF4A96" w:rsidRPr="00DF4A96" w:rsidRDefault="00DF4A96" w:rsidP="00DF4A96">
      <w:r w:rsidRPr="00DF4A96">
        <w:t xml:space="preserve">К числу иждивенцев, за которых можно получить повышение </w:t>
      </w:r>
      <w:r w:rsidR="00364B06" w:rsidRPr="00DF4A96">
        <w:t>фиксированной выплаты</w:t>
      </w:r>
      <w:r w:rsidRPr="00DF4A96">
        <w:t xml:space="preserve">, относятся только близкие родственники пожилого человека. Это </w:t>
      </w:r>
      <w:r w:rsidR="00364B06" w:rsidRPr="00DF4A96">
        <w:t>в первую</w:t>
      </w:r>
      <w:r w:rsidRPr="00DF4A96">
        <w:t xml:space="preserve"> очередь дети пожилого человека в возрасте до 18 лет или дети </w:t>
      </w:r>
      <w:r w:rsidR="00364B06" w:rsidRPr="00DF4A96">
        <w:t>в возрасте</w:t>
      </w:r>
      <w:r w:rsidRPr="00DF4A96">
        <w:t xml:space="preserve"> от 18 до 23 лет, если они получили инвалидность до </w:t>
      </w:r>
      <w:r w:rsidR="00364B06" w:rsidRPr="00DF4A96">
        <w:t>совершеннолетия или</w:t>
      </w:r>
      <w:r w:rsidRPr="00DF4A96">
        <w:t xml:space="preserve"> учатся и не работают. Пенсионеру к размеру фиксированной выплаты </w:t>
      </w:r>
      <w:r w:rsidR="00364B06" w:rsidRPr="00DF4A96">
        <w:t>к страховой</w:t>
      </w:r>
      <w:r w:rsidRPr="00DF4A96">
        <w:t xml:space="preserve"> пенсии устанавливается надбавка. В 2025 году она составляет 2969  руб. при наличии одного иждивенца (1/3 от фиксированной выплаты, размер  которой с 1 января этого года - 8907 руб.); 5938 руб. - за двух иждивенцев;  8907 руб. - за трех.</w:t>
      </w:r>
    </w:p>
    <w:p w14:paraId="2E564412" w14:textId="77777777" w:rsidR="00DF4A96" w:rsidRPr="00593D6A" w:rsidRDefault="00DF4A96" w:rsidP="00DF4A96">
      <w:r w:rsidRPr="00593D6A">
        <w:t>Ольга Игнатова</w:t>
      </w:r>
    </w:p>
    <w:p w14:paraId="3E7E452D" w14:textId="77777777" w:rsidR="00DF4A96" w:rsidRPr="00593D6A" w:rsidRDefault="00DF4A96" w:rsidP="00DF4A96"/>
    <w:p w14:paraId="0D3092A3" w14:textId="77777777" w:rsidR="00DF4A96" w:rsidRPr="00593D6A" w:rsidRDefault="00DF4A96" w:rsidP="00DF4A96"/>
    <w:p w14:paraId="1B762F0A" w14:textId="77777777" w:rsidR="00111D7C" w:rsidRPr="001267A7" w:rsidRDefault="00111D7C" w:rsidP="00111D7C">
      <w:pPr>
        <w:pStyle w:val="10"/>
      </w:pPr>
      <w:bookmarkStart w:id="118" w:name="_Toc99318655"/>
      <w:bookmarkStart w:id="119" w:name="_Toc165991075"/>
      <w:bookmarkStart w:id="120" w:name="_Toc198618917"/>
      <w:r w:rsidRPr="001267A7">
        <w:lastRenderedPageBreak/>
        <w:t>Региональные СМИ</w:t>
      </w:r>
      <w:bookmarkEnd w:id="40"/>
      <w:bookmarkEnd w:id="118"/>
      <w:bookmarkEnd w:id="119"/>
      <w:bookmarkEnd w:id="120"/>
    </w:p>
    <w:p w14:paraId="1FF75279" w14:textId="77777777" w:rsidR="00E10B1E" w:rsidRDefault="00E10B1E" w:rsidP="00E10B1E">
      <w:pPr>
        <w:pStyle w:val="2"/>
      </w:pPr>
      <w:bookmarkStart w:id="121" w:name="_Toc198618918"/>
      <w:r>
        <w:t>Коммерсантъ Черноземье</w:t>
      </w:r>
      <w:r w:rsidRPr="00E10B1E">
        <w:t xml:space="preserve">, </w:t>
      </w:r>
      <w:r>
        <w:t>19</w:t>
      </w:r>
      <w:r w:rsidRPr="00E10B1E">
        <w:t xml:space="preserve">.05.2025, </w:t>
      </w:r>
      <w:r>
        <w:t>Жители Черноземья вложили 11,5 млрд рублей в программу долгосрочных сбережений</w:t>
      </w:r>
      <w:bookmarkEnd w:id="121"/>
    </w:p>
    <w:p w14:paraId="6E23BC81" w14:textId="77777777" w:rsidR="00E10B1E" w:rsidRPr="00E10B1E" w:rsidRDefault="00E10B1E" w:rsidP="00E10B1E">
      <w:pPr>
        <w:pStyle w:val="3"/>
      </w:pPr>
      <w:bookmarkStart w:id="122" w:name="_Toc99271704"/>
      <w:bookmarkStart w:id="123" w:name="_Toc99318656"/>
      <w:bookmarkStart w:id="124" w:name="_Toc165991076"/>
      <w:bookmarkStart w:id="125" w:name="_Toc62681899"/>
      <w:bookmarkStart w:id="126" w:name="_Toc198618919"/>
      <w:bookmarkEnd w:id="24"/>
      <w:bookmarkEnd w:id="25"/>
      <w:bookmarkEnd w:id="26"/>
      <w:r w:rsidRPr="00E10B1E">
        <w:t>В первом квартале 2025 года жители Черноземья вложили 1,4 млрд руб. в программу долгосрочных сбережений, заключив 67,5 тыс. договоров с негосударственными пенсионными фондами (НПФ). Еще 4,6 млрд руб. с января по март перечислили по договорам, заключенным в прошлом году. Так, всего в макрорегионе с начала программы в нее было внесено порядка 11,5 млрд руб. Об этом сообщили в воронежском отделении Центробанка.</w:t>
      </w:r>
      <w:bookmarkEnd w:id="126"/>
    </w:p>
    <w:p w14:paraId="6C0384D1" w14:textId="77777777" w:rsidR="00E10B1E" w:rsidRPr="00E10B1E" w:rsidRDefault="00E10B1E" w:rsidP="00E10B1E">
      <w:r w:rsidRPr="00E10B1E">
        <w:t>Больше всего за этот период в программу внесли жители Воронежской области — 423 млн руб., заключив 19 тыс. договоров. По договорам 2024 года было направлено 1,4 млрд руб. В Белгородской области оформили 15,4 тыс. договоров объемом 311 млн руб., а по договорам прошлого года перечислили 952 млн руб.</w:t>
      </w:r>
    </w:p>
    <w:p w14:paraId="5E0B2BC0" w14:textId="77777777" w:rsidR="00E10B1E" w:rsidRPr="00E10B1E" w:rsidRDefault="00E10B1E" w:rsidP="00E10B1E">
      <w:r w:rsidRPr="00E10B1E">
        <w:t>В Липецкой области заключили 9,5 тыс. договоров на 224 млн руб. Еще 834 млн руб. поступило по договорам 2024-го. В Курской области заключили 7 тыс. договоров на 199 млн руб. По договорам прошлого года с января по март в программу направили 480 млн руб.</w:t>
      </w:r>
    </w:p>
    <w:p w14:paraId="6D9A5F41" w14:textId="77777777" w:rsidR="00E10B1E" w:rsidRPr="00E10B1E" w:rsidRDefault="00E10B1E" w:rsidP="00E10B1E">
      <w:r w:rsidRPr="00E10B1E">
        <w:t>В Орловской области оформили 10 тыс. договоров на 147 млн руб., а по договорам 2024-го поступило 519 млн руб. Меньше всего внесли жители Тамбовской области — 124 млн руб., оформив 6,5 тыс. договоров. По договорам 2024-го в программу перечислили 440 млн руб.</w:t>
      </w:r>
    </w:p>
    <w:p w14:paraId="56454024" w14:textId="77777777" w:rsidR="00E10B1E" w:rsidRPr="00E10B1E" w:rsidRDefault="00E10B1E" w:rsidP="00E10B1E">
      <w:r w:rsidRPr="00E10B1E">
        <w:t>Всего в Черноземье заключили около 247 тыс. договоров долгосрочных сбережений. Программа стартовала в России в 2024 году. Ее операторами выступают негосударственные пенсионные фонды. На сегодня к программе присоединилось уже 35 из 38 фондов, представленных на российском финансовом рынке.</w:t>
      </w:r>
    </w:p>
    <w:p w14:paraId="39BA84EA" w14:textId="77777777" w:rsidR="00E10B1E" w:rsidRPr="00E10B1E" w:rsidRDefault="00E10B1E" w:rsidP="00E10B1E">
      <w:r w:rsidRPr="00E10B1E">
        <w:t>В целом по России с января по апрель было заключено 4,6 млн договоров долгосрочных сбережений. Негосударственные пенсионные фонды получили 266 млрд руб. взносов, включая средства пенсионных накоплений, переведенные из системы обязательного пенсионного страхования, и начисленный инвестиционный доход.</w:t>
      </w:r>
    </w:p>
    <w:p w14:paraId="4389C4B2" w14:textId="77777777" w:rsidR="00E10B1E" w:rsidRPr="00E10B1E" w:rsidRDefault="00E10B1E" w:rsidP="00E10B1E">
      <w:r w:rsidRPr="00E10B1E">
        <w:t>В начале года ЦБ сообщал, что в Черноземье по итогам 2024-го было заключено 179,4 тыс. договоров по программе долгосрочных сбережений на 5,5 млрд руб.</w:t>
      </w:r>
    </w:p>
    <w:p w14:paraId="174BC9A4" w14:textId="77777777" w:rsidR="00E10B1E" w:rsidRPr="00E10B1E" w:rsidRDefault="00E10B1E" w:rsidP="00E10B1E">
      <w:r w:rsidRPr="00E10B1E">
        <w:t>Как в прошлом году менялись сбережения жителей макрорегиона, читайте в материале «Ъ-Черноземье.</w:t>
      </w:r>
    </w:p>
    <w:p w14:paraId="51835E69" w14:textId="77777777" w:rsidR="00E10B1E" w:rsidRDefault="00E10B1E" w:rsidP="00E10B1E">
      <w:r w:rsidRPr="00E10B1E">
        <w:t>Егор Якимов</w:t>
      </w:r>
    </w:p>
    <w:p w14:paraId="37C9C713" w14:textId="77777777" w:rsidR="00E10B1E" w:rsidRDefault="00E10B1E" w:rsidP="00E10B1E">
      <w:pPr>
        <w:pStyle w:val="2"/>
      </w:pPr>
      <w:bookmarkStart w:id="127" w:name="_Toc198618920"/>
      <w:r>
        <w:lastRenderedPageBreak/>
        <w:t>ЯСИА</w:t>
      </w:r>
      <w:r w:rsidRPr="00E10B1E">
        <w:t xml:space="preserve">, 20.05.2025, </w:t>
      </w:r>
      <w:r>
        <w:t>Откладывай на завтра: жители Якутии копят на будущее с программой долгосрочных сбережений</w:t>
      </w:r>
      <w:bookmarkEnd w:id="127"/>
    </w:p>
    <w:p w14:paraId="52E6F114" w14:textId="2818E4B2" w:rsidR="00E10B1E" w:rsidRPr="00E10B1E" w:rsidRDefault="00E10B1E" w:rsidP="00E10B1E">
      <w:pPr>
        <w:pStyle w:val="3"/>
      </w:pPr>
      <w:bookmarkStart w:id="128" w:name="_Toc198618921"/>
      <w:r w:rsidRPr="00E10B1E">
        <w:t>С начала года</w:t>
      </w:r>
      <w:r w:rsidR="00364B06">
        <w:t xml:space="preserve"> </w:t>
      </w:r>
      <w:r w:rsidRPr="00E10B1E">
        <w:t>жители Якутии заключили свыше 4 тыс. новых договоров по программе долгосрочных сбережений (ПДС) в СберНПФ, что превышает показатели аналогичного периода прошлого года на 50%.</w:t>
      </w:r>
      <w:bookmarkEnd w:id="128"/>
    </w:p>
    <w:p w14:paraId="00BB698E" w14:textId="77777777" w:rsidR="00E10B1E" w:rsidRPr="00E10B1E" w:rsidRDefault="00E10B1E" w:rsidP="00E10B1E">
      <w:r w:rsidRPr="00E10B1E">
        <w:t>Руслан Вестеровский, старший вице-президент, руководитель блока «Управление благосостоянием» Сбербанка: «Всё чаще россияне выбирают программу долгосрочных сбережений с господдержкой и налоговыми льготами для финансового обеспечения своего будущего. В первом квартале текущего года жители РФ заключили 880 тысяч новых договоров ПДС и внесли 17,3 миллиарда рублей на свои договоры, в том числе 12 миллиардов на новые.</w:t>
      </w:r>
    </w:p>
    <w:p w14:paraId="30CD2588" w14:textId="77777777" w:rsidR="00E10B1E" w:rsidRPr="00E10B1E" w:rsidRDefault="00E10B1E" w:rsidP="00E10B1E">
      <w:r w:rsidRPr="00E10B1E">
        <w:t>К тому же подано 122 тысячи заявлений на перевод средств обязательного пенсионного страхования (ОПС) в ПДС — по нашим прогнозам, это ещё 19 миллиардов рублей. Люди смогут забрать эти деньги через 15 лет участия в программе, выбрать оптимальный срок ежемесячных выплат (5-10 лет) или снять их досрочно в особых ситуациях, например, для оплаты лечения.</w:t>
      </w:r>
    </w:p>
    <w:p w14:paraId="4925AE0B" w14:textId="77777777" w:rsidR="00E10B1E" w:rsidRPr="00E10B1E" w:rsidRDefault="00E10B1E" w:rsidP="00E10B1E">
      <w:r w:rsidRPr="00E10B1E">
        <w:t>Всего в СберНПФ открыто 3 миллиона договоров ПДС, в них хранится 200 миллиардов рублей. Мы рассчитываем, что к концу 2025 года участниками программы долгосрочных сбережений в СберНПФ станут 5,6 миллиона россиян».</w:t>
      </w:r>
    </w:p>
    <w:p w14:paraId="4592C6F5" w14:textId="77777777" w:rsidR="00E10B1E" w:rsidRPr="00E10B1E" w:rsidRDefault="00E10B1E" w:rsidP="00E10B1E">
      <w:r w:rsidRPr="00E10B1E">
        <w:t>По данным СберНПФ, в среднем при открытии договора клиенты вносят 12,6 тысяч рублей, а последующие пополнения составляют около 4,4 тысячи рублей.</w:t>
      </w:r>
    </w:p>
    <w:p w14:paraId="2AE776D4" w14:textId="77777777" w:rsidR="00E10B1E" w:rsidRPr="00E10B1E" w:rsidRDefault="00E10B1E" w:rsidP="00E10B1E">
      <w:r w:rsidRPr="00E10B1E">
        <w:t>Рушан Сахбиев, Председатель Байкальского банка Сбербанка: «Жители Якутии проявляют высокий интерес к программе долгосрочных сбережений, успешно используя её преимущества для достижения своих финансовых планов. Особенной популярностью пользуется возможность перевода средств накопительной пенсии в рамках программы».</w:t>
      </w:r>
    </w:p>
    <w:p w14:paraId="0CC663FB" w14:textId="77777777" w:rsidR="00E10B1E" w:rsidRPr="00E10B1E" w:rsidRDefault="00E10B1E" w:rsidP="00E10B1E">
      <w:r w:rsidRPr="00E10B1E">
        <w:t>Программа долгосрочных сбережений стартовала в России 1 января 2024 года. С её помощью россияне могут делать добровольные взносы, получать софинансирование от государства до 36 тыс. рублей в год на протяжении десяти лет, а также налоговые вычеты. Выплаты по договору можно получить спустя 15 лет участия, по достижении возраста 55 лет для женщин и 60 лет для мужчин, а также досрочно — при потере кормильца или необходимости дорогого лечения.</w:t>
      </w:r>
    </w:p>
    <w:p w14:paraId="31F65A2B" w14:textId="77777777" w:rsidR="00111D7C" w:rsidRPr="001267A7" w:rsidRDefault="00111D7C" w:rsidP="00111D7C">
      <w:pPr>
        <w:pStyle w:val="251"/>
      </w:pPr>
      <w:bookmarkStart w:id="129" w:name="_Toc198618922"/>
      <w:r w:rsidRPr="001267A7">
        <w:lastRenderedPageBreak/>
        <w:t>НОВОСТИ МАКРОЭКОНОМИКИ</w:t>
      </w:r>
      <w:bookmarkEnd w:id="122"/>
      <w:bookmarkEnd w:id="123"/>
      <w:bookmarkEnd w:id="124"/>
      <w:bookmarkEnd w:id="129"/>
    </w:p>
    <w:p w14:paraId="52EDF01F" w14:textId="77777777" w:rsidR="00593D6A" w:rsidRPr="00593D6A" w:rsidRDefault="00593D6A" w:rsidP="00593D6A">
      <w:pPr>
        <w:pStyle w:val="2"/>
      </w:pPr>
      <w:bookmarkStart w:id="130" w:name="_Toc198609678"/>
      <w:bookmarkStart w:id="131" w:name="_Toc99271711"/>
      <w:bookmarkStart w:id="132" w:name="_Toc99318657"/>
      <w:bookmarkStart w:id="133" w:name="_Toc198618923"/>
      <w:r w:rsidRPr="00593D6A">
        <w:t xml:space="preserve">Ведомости, 20.05.2025, </w:t>
      </w:r>
      <w:r w:rsidRPr="00593D6A">
        <w:rPr>
          <w:rFonts w:eastAsia="Verdana"/>
        </w:rPr>
        <w:t>Власти согласовали увеличение порогов для МСП</w:t>
      </w:r>
      <w:bookmarkEnd w:id="130"/>
      <w:bookmarkEnd w:id="133"/>
    </w:p>
    <w:p w14:paraId="0D21C090" w14:textId="77777777" w:rsidR="00593D6A" w:rsidRPr="00593D6A" w:rsidRDefault="00593D6A" w:rsidP="00593D6A">
      <w:pPr>
        <w:pStyle w:val="3"/>
      </w:pPr>
      <w:bookmarkStart w:id="134" w:name="_Toc198618924"/>
      <w:r w:rsidRPr="00593D6A">
        <w:t>Правительство рассмотрит меры поддержки для более мягкого перехода из льготного режима, действующего для субъектов малого и среднего предпринимательства (МСП), на общую систему налогообложения. Такое поручение дал премьер-министр России Михаил Мишустин на правкомиссии по вопросам развития МСП. Важно, чтобы компании не теряли "запал и возможности, которые предоставлялись специальными режимами", отметил он.</w:t>
      </w:r>
      <w:bookmarkEnd w:id="134"/>
    </w:p>
    <w:p w14:paraId="62E50BFB" w14:textId="77777777" w:rsidR="00593D6A" w:rsidRPr="00593D6A" w:rsidRDefault="00593D6A" w:rsidP="00593D6A">
      <w:r w:rsidRPr="00593D6A">
        <w:t>Минфин и Минэкономразвития проработали предложение увеличить пороги для МСП и готовы поддержать его, сообщил в ходе правкомиссии министр финансов Антон Силуанов. В частности, планируется увеличить лимит по выручке с 2 млрд до 3,5 млрд руб., по численности сотрудников - с 250 до 525. Для них будут действовать меры поддержки по гарантийному финансированию, которые сейчас доступны для МСП, уточнил Силуанов.</w:t>
      </w:r>
    </w:p>
    <w:p w14:paraId="08099AD1" w14:textId="77777777" w:rsidR="00593D6A" w:rsidRPr="00593D6A" w:rsidRDefault="00593D6A" w:rsidP="00593D6A">
      <w:r w:rsidRPr="00593D6A">
        <w:t>С предложением расширить пороги и предусмотреть для компаний МСП+ меры поддержки в ходе правкомиссии выступила сооснователь и генеральный директор ООО "Эстилаб рус" Ирина Амосова. По ее словам, при превышении порога МСП потеря льготных финансовых инструментов делает невозможной реализацию инвестпроектов в условиях высокой ключевой ставки - производственные компании лишаются помощи на самом критическом этапе перехода в средний бизнес.</w:t>
      </w:r>
    </w:p>
    <w:p w14:paraId="7384F65A" w14:textId="77777777" w:rsidR="00593D6A" w:rsidRPr="00593D6A" w:rsidRDefault="00593D6A" w:rsidP="00593D6A">
      <w:r w:rsidRPr="00593D6A">
        <w:t>Предпринимательница отметила, что в прошлом году оборот ее компании составил 1,7 млрд руб. с НДС, а в этом году приблизится к 3 млрд руб.</w:t>
      </w:r>
    </w:p>
    <w:p w14:paraId="4EEBBDE6" w14:textId="77777777" w:rsidR="00593D6A" w:rsidRPr="00593D6A" w:rsidRDefault="00593D6A" w:rsidP="00593D6A">
      <w:r w:rsidRPr="00593D6A">
        <w:t>Как пояснила "Ведомостям" Амосова, обсуждалось несколько вариантов порогов - 3-5-7 млрд руб. По ее словам, для компании лишение мер поддержки, которые доступны для МСП, приводит к удорожанию бизнеса на 26%. "Компаниям, которые "взлетели", важно не обрезать полет", - подчеркнула она, напомнив, что порог для МСП не пересматривался с 2016 г.</w:t>
      </w:r>
    </w:p>
    <w:p w14:paraId="44E10D47" w14:textId="77777777" w:rsidR="00593D6A" w:rsidRPr="00593D6A" w:rsidRDefault="00593D6A" w:rsidP="00593D6A">
      <w:r w:rsidRPr="00593D6A">
        <w:t>Минэкономразвития действительно поддерживает предложение о расширении порогов для МСП - сейчас обсуждается параметр выручки до 3,5 млрд руб. для режима МСП+, пояснила "Ведомостям" замминистра экономического развития Татьяна Илюшникова. Такая мера позволит компаниям развиваться без искусственного сдерживания роста и дробления, добавила она. "Пока мы видим, что на них точно можно распространить гарантийную поддержку, которая позволяет получать кредиты по более льготным условиям. Расширение параметров и остальные меры будем прорабатывать, как поручил Михаил Владимирович [Мишустин]", - добавила Илюшникова.</w:t>
      </w:r>
    </w:p>
    <w:p w14:paraId="08C725C7" w14:textId="77777777" w:rsidR="00593D6A" w:rsidRPr="00593D6A" w:rsidRDefault="00593D6A" w:rsidP="00593D6A">
      <w:r w:rsidRPr="00593D6A">
        <w:t>Другие предложения</w:t>
      </w:r>
    </w:p>
    <w:p w14:paraId="5B00F39F" w14:textId="77777777" w:rsidR="00593D6A" w:rsidRPr="00593D6A" w:rsidRDefault="00593D6A" w:rsidP="00593D6A">
      <w:r w:rsidRPr="00593D6A">
        <w:t xml:space="preserve">В ходе правкомиссии звучали также и другие предложения помощи малому и среднему бизнесу. Например, ветеран СВО и предприниматель Камиль Абитов рассказал, как с </w:t>
      </w:r>
      <w:r w:rsidRPr="00593D6A">
        <w:lastRenderedPageBreak/>
        <w:t>помощью программы "Свое дело" центра "Мой бизнес" ему удалось открыть образовательный онлайн-проект для школьников. Он предложил приравнять ветеранов боевых действий к категории социальных предпринимателей для получения региональных налоговых льгот, а также ввести для них комплексную поддержку в центрах "Мой бизнес" во всех регионах России по аналогии с Крымом. Премьер-министр отметил, что правительство поддержит это предложение, так как поддержка участников СВО - это приоритет, и поручил Минэкономразвития проработать вопрос.</w:t>
      </w:r>
    </w:p>
    <w:p w14:paraId="4E8EFAAB" w14:textId="77777777" w:rsidR="00593D6A" w:rsidRPr="00593D6A" w:rsidRDefault="00593D6A" w:rsidP="00593D6A">
      <w:r w:rsidRPr="00593D6A">
        <w:t>Председатель совета директоров ПАО "Артген биотех" Артур Исаев попросил перезапустить программу субсидирования расходов на публичное размещение акций и облигационных займов, которая действует для МСП. Банк России считает меру поддержки эффективной - в частности, в прошлом году шесть растущих компаний в сегменте малых технологических компаний вышли на публичное размещение, отметил руководитель службы по защите прав потребителей и обеспечению доступности финансовых услуг ЦБ Михаил Мамута. Потенциально продление меры поддержки может иметь позитивный эффект и для более крупных компаний из числа МСП+, подчеркнул он.</w:t>
      </w:r>
    </w:p>
    <w:p w14:paraId="5E335F24" w14:textId="77777777" w:rsidR="00593D6A" w:rsidRPr="00593D6A" w:rsidRDefault="00593D6A" w:rsidP="00593D6A">
      <w:r w:rsidRPr="00593D6A">
        <w:t>Предприниматель из ДНР Виктор Степанов предложил продлить льготные программы кредитования в новых регионах. В условиях высокой ключевой ставки такая программа должна быть продолжена, отметил Мишустин и поручил министру экономического развития Максиму Решетникову проработать реализацию этой меры. Кабмин также занимается помощью пострадавшим субъектам МСП в приграничных регионах РФ, добавил премьер-министр. Мишустин указал, что мониторингом ситуации занимаются Минэкономразвития и Минфин, и попросил держать этот вопрос "на оперативном контроле - смотреть, кому еще помочь".</w:t>
      </w:r>
    </w:p>
    <w:p w14:paraId="73D5CCEE" w14:textId="77777777" w:rsidR="00593D6A" w:rsidRPr="00593D6A" w:rsidRDefault="00593D6A" w:rsidP="00593D6A">
      <w:r w:rsidRPr="00593D6A">
        <w:t>Премьер-министр также поручил уточнить параметры программы промышленных кластеров. "Формирование таких интенсивных точек роста дает наибольший мультипликативный эффект (и Москва, Татарстан это показывают, многие другие регионы), привлекает компании из приоритетных отраслей экономики, поддерживает их и создает в том числе высокооплачиваемые рабочие места, помогает масштабировать производство", - отметил Мишустин.</w:t>
      </w:r>
    </w:p>
    <w:p w14:paraId="6C23B308" w14:textId="77777777" w:rsidR="00593D6A" w:rsidRPr="00593D6A" w:rsidRDefault="00593D6A" w:rsidP="00593D6A">
      <w:r w:rsidRPr="00593D6A">
        <w:t>Несколько предложений по налогам поступило от президента "Опоры России" Александра Калинина. Он предложил расширить перечень ОКВЭД для применения пониженных страховых взносов на компании, которые занимаются производством товаров для детей, текстильных изделий, а также металлообработкой. Кроме того, необходимо увеличить лимиты по промышленной ипотеке (в прошлом году на нее было выделено около 9 млрд руб.). Также "Опора России" вновь попросила расширить эксперимент по обелению общепита, который обнуляет НДС, на охранные предприятия и клининг.</w:t>
      </w:r>
    </w:p>
    <w:p w14:paraId="30981B64" w14:textId="77777777" w:rsidR="00593D6A" w:rsidRPr="00593D6A" w:rsidRDefault="00593D6A" w:rsidP="00593D6A">
      <w:r w:rsidRPr="00593D6A">
        <w:t>С фискальными вопросами надо быть крайне аккуратными, подчеркнул Мишустин, отвечая на предложения "Опоры России". Премьер добавил, что поручит Минфину и Минэкономразвития проанализировать поступившие инициативы.</w:t>
      </w:r>
    </w:p>
    <w:p w14:paraId="565F8AF1" w14:textId="77777777" w:rsidR="00593D6A" w:rsidRPr="00593D6A" w:rsidRDefault="00593D6A" w:rsidP="00593D6A">
      <w:r w:rsidRPr="00593D6A">
        <w:t xml:space="preserve">Сдержанный ответ получили также предложения губернатора Ленинградской области Александра Дрозденко. Глава региона попросил вернуть прежнюю схему финансирования центров "Мой бизнес", которая предусматривала предоставление субсидий из федерального бюджета всем субъектам. Кроме того, Дрозденко попросил </w:t>
      </w:r>
      <w:r w:rsidRPr="00593D6A">
        <w:lastRenderedPageBreak/>
        <w:t>увеличить поддержку создания промышленных парков. Президент поручил построить 100 промышленных парков - на это из бюджета выделено 30 млрд руб., но этого "может оказаться недостаточным для качественной реализации проекта", указал Дрозденко.</w:t>
      </w:r>
    </w:p>
    <w:p w14:paraId="2A62218F" w14:textId="77777777" w:rsidR="00593D6A" w:rsidRPr="00593D6A" w:rsidRDefault="00593D6A" w:rsidP="00593D6A">
      <w:r w:rsidRPr="00593D6A">
        <w:t>Мишустин отметил, что правительство изучит предложение и "будет исходить из возможностей бюджета". Силуанов, комментируя просьбу увеличить поддержку из центра, отметил, что "справедливо, когда более сильные регионы вкладывают больше средств, а Федерация помогает субъектам с низким уровнем обеспеченности".</w:t>
      </w:r>
    </w:p>
    <w:p w14:paraId="11AE34E8" w14:textId="77777777" w:rsidR="00593D6A" w:rsidRPr="00593D6A" w:rsidRDefault="00593D6A" w:rsidP="00593D6A">
      <w:r w:rsidRPr="00593D6A">
        <w:t>Мишустин напомнил, что с этого года поддержка МСП осуществляется по линии федерального проекта в рамках нацпроекта "Эффективная и конкурентная экономика". Профильный нацпроект завершился в прошлом году. Поставленная задача по увеличению численности занятых в МСП была перевыполнена - по итогам 2024 г. она превысила 29,3 млн человек. Общий размер государственной финансовой поддержки оценивается примерно в 8,5 трлн руб., отметил Мишустин.</w:t>
      </w:r>
    </w:p>
    <w:p w14:paraId="63306678" w14:textId="77777777" w:rsidR="00593D6A" w:rsidRPr="00593D6A" w:rsidRDefault="00593D6A" w:rsidP="00593D6A">
      <w:r w:rsidRPr="00593D6A">
        <w:t>Вице-премьер Александр Новак напомнил, что перед правительством стоит задача: к 2030 г. темпы роста реального дохода на одного работника МСП должны быть на 20% выше темпов роста ВВП. "Сделать это предстоит за счет усиления роли малого бизнеса в структурных изменениях экономики, в развитии технологической повестки, экономики предложения. И за счет грамотной концентрации мер поддержки в рамках нового федерального проекта, по линии профильных ведомств и институтов развития", - указал он.</w:t>
      </w:r>
    </w:p>
    <w:p w14:paraId="52D800A7" w14:textId="77777777" w:rsidR="00593D6A" w:rsidRPr="00593D6A" w:rsidRDefault="00593D6A" w:rsidP="00593D6A">
      <w:r w:rsidRPr="00593D6A">
        <w:t>Актуальность расширения порогов</w:t>
      </w:r>
    </w:p>
    <w:p w14:paraId="439DF88F" w14:textId="77777777" w:rsidR="00593D6A" w:rsidRPr="00593D6A" w:rsidRDefault="00593D6A" w:rsidP="00593D6A">
      <w:r w:rsidRPr="00593D6A">
        <w:t>Количество предприятий, вплотную приближающихся или преодолевающих формальные критерии МСП, растет, напомнил заведующий кафедрой предпринимательства и логистики, директор Высшей школы экономики и бизнеса РЭУ им. Плеханова Дмитрий Завьялов. Выходя за границы критериев, бизнес теряет основную массу мер поддержки, рассчитанных на компании, входящие в реестр МСП, напомнил он. "Получается некая серая полоса, когда размер бизнеса уже не позволяет получать поддержку, как МСП, а до масштабов системообразующих предприятий или крупных корпораций еще далеко", - указал эксперт. Перед государством стоит задача, с одной стороны, сгладить переход бизнеса из одной категории в другую, а с другой - препятствовать дроблению бизнеса и различным искусственным практикам, которые используют предприниматели, дабы сохранить меры поддержки, говорит Завьялов.</w:t>
      </w:r>
    </w:p>
    <w:p w14:paraId="1E556363" w14:textId="77777777" w:rsidR="00593D6A" w:rsidRPr="00593D6A" w:rsidRDefault="00593D6A" w:rsidP="00593D6A">
      <w:r w:rsidRPr="00593D6A">
        <w:t>Eсли учитывать, что лимиты по выручке были установлены в 2016 г., то сейчас верхний порог в 2 млрд руб. в ценах 2016 г. - это почти 3,5 млрд руб., т. е. проведена фактически поправка на инфляцию, объясняет директор Центра экономической географии и регионалистики РАНХиГС Степан Земцов. Число работников в отдельных видах деятельности уже выше 250 человек, например в легкой промышленности - до 1000 человек, в гостинично-ресторанном бизнесе - до 1500, напомнил он.</w:t>
      </w:r>
    </w:p>
    <w:p w14:paraId="4CD293D9" w14:textId="77777777" w:rsidR="00593D6A" w:rsidRPr="00593D6A" w:rsidRDefault="00593D6A" w:rsidP="00593D6A">
      <w:r w:rsidRPr="00593D6A">
        <w:t>Анастасия Бойко</w:t>
      </w:r>
    </w:p>
    <w:p w14:paraId="457EBF3A" w14:textId="77777777" w:rsidR="00593D6A" w:rsidRDefault="00593D6A" w:rsidP="00593D6A">
      <w:pPr>
        <w:pStyle w:val="2"/>
      </w:pPr>
      <w:bookmarkStart w:id="135" w:name="_Toc198618925"/>
      <w:r>
        <w:lastRenderedPageBreak/>
        <w:t>Коммерсантъ</w:t>
      </w:r>
      <w:r w:rsidRPr="00593D6A">
        <w:t xml:space="preserve">, </w:t>
      </w:r>
      <w:r>
        <w:t>20.05.2025</w:t>
      </w:r>
      <w:r w:rsidRPr="00593D6A">
        <w:t xml:space="preserve">, </w:t>
      </w:r>
      <w:r>
        <w:t>МСП выходит в плюс</w:t>
      </w:r>
      <w:bookmarkEnd w:id="135"/>
    </w:p>
    <w:p w14:paraId="2A7AF448" w14:textId="77777777" w:rsidR="00593D6A" w:rsidRDefault="00593D6A" w:rsidP="00593D6A">
      <w:pPr>
        <w:pStyle w:val="3"/>
      </w:pPr>
      <w:bookmarkStart w:id="136" w:name="_Toc198618926"/>
      <w:r>
        <w:t>Расширение вклада малого и среднего бизнеса в создание «экономики предложения» и в развитие передовых технологий станет ключевым приоритетом господдержки этого сектора, показало заседание правительственной комиссии по вопросам развития МСП. Ради этой цели власти намерены концентрировать помощь в приоритетных отраслях и повышать степень ее цифровизации. Малый бизнес, от которого правительство ждет уже не количественного, а качественного роста, на заседании просил увеличить лимиты промышленной ипотеки и расширить инфраструктуру процесса повышения производительности труда МСП. Обсуждались и возможности поддержки предприятий, занятых в приоритетных отраслях и переросших рамки малого и среднего бизнеса,— разработать критерии нового сегмента МСП+ поручено Минэкономики и Минфину.</w:t>
      </w:r>
      <w:bookmarkEnd w:id="136"/>
    </w:p>
    <w:p w14:paraId="49FA2A53" w14:textId="77777777" w:rsidR="00593D6A" w:rsidRDefault="00593D6A" w:rsidP="00593D6A">
      <w:r>
        <w:t>Заседание правительственной комиссии по вопросам развития МСП премьер-министр Михаил Мишустин начал с подведения итогов завершившегося в прошлом году профильного нацпроекта. По оценкам главы правительства, одним из ключевых результатов стало создание единой системы поддержки бизнеса: «от старта до выхода на экспортные площадки». Теперь среди приоритетов — укрепление устойчивости МСП и выход компаний на новые рынки сбыта. Отдельное внимание будет уделено дальнейшей цифровизации взаимодействия властей с бизнесом. Как пояснил “Ъ” глава Корпорации МСП Александр Исаевич, сегодня цифровой платформой МСП.РФ пользуются более 1,3 млн предпринимателей, к 2030 году этот показатель должен достичь 3 млн. Для этого в том числе продолжится процесс ее интеграции с другими федеральными платформами.</w:t>
      </w:r>
    </w:p>
    <w:p w14:paraId="1D368686" w14:textId="77777777" w:rsidR="00593D6A" w:rsidRDefault="00593D6A" w:rsidP="00593D6A">
      <w:r>
        <w:t>Выступивший на заседании вице-премьер Александр Новак отметил, что власти намерены повышать вклад малого бизнеса в «экономику предложения». По его словам, сегодня все больше компаний «заходит» в производственный сектор и обработку, а также в другие приоритетные отрасли (туризм, логистика, IT и научно-техническая деятельность) и правительство усиливает их поддержку.</w:t>
      </w:r>
    </w:p>
    <w:p w14:paraId="4FD38A63" w14:textId="77777777" w:rsidR="00593D6A" w:rsidRDefault="00593D6A" w:rsidP="00593D6A">
      <w:r>
        <w:t>Поясним, итогом дискуссий последних лет стал отказ властей от широкого охвата субъектов МСП господдержкой и ее сосредоточение на эффективных компаниях (см. “Ъ” от 28 января). Власти, подчеркнул господин Новак, хотят также расширить участие МСП и в развитии передовых технологий. Сегодня в РФ более 4,5 тыс. малых технологических компаний — ожидается, что их число будет расти.</w:t>
      </w:r>
    </w:p>
    <w:p w14:paraId="0170CB4A" w14:textId="77777777" w:rsidR="00593D6A" w:rsidRDefault="00593D6A" w:rsidP="00593D6A">
      <w:r>
        <w:t>В новый профильный федеральный проект заложена и идея необходимости повышения производительности малого бизнеса — в том числе потому, что конкурировать за квалифицированные кадры с крупным бизнесом МСП фактически не могут. Эту проблему признает и деловое сообщество. Глава «Опоры России» Александр Калинин на заседании говорил о запросе бизнеса на расширение инфраструктуры для повышения производительности труда — объединение предлагает продолжить работу по созданию региональных центров компетенций в этой сфере. Среди других пожеланий — увеличение лимитов по популярной у бизнеса программе промышленной ипотеки (реализуется Минпромторгом). В 2024 году объем таких кредитов составил более 33 млрд руб., и спрос на них растет.</w:t>
      </w:r>
    </w:p>
    <w:p w14:paraId="5F3388C2" w14:textId="77777777" w:rsidR="00593D6A" w:rsidRDefault="00593D6A" w:rsidP="00593D6A">
      <w:r>
        <w:lastRenderedPageBreak/>
        <w:t>Говорили вчера и о поддержке МСП+ — вышедших за рамки малого и среднего бизнеса компаний, которые работают в приоритетных отраслях. Напомним, всерьез обсуждать возможность создания такой подкатегории предприятий власти начали еще в 2023 году (см. “Ъ” от 6 сентября и 9 октября 2023 года). Предполагалось, что для попавших в нее компаний (их число, по предварительным оценкам, не превышает 1 тыс.) будут сохранены некоторые меры финансовой поддержки, например зонтичные поручительства. Периодически заявления о важности такой категории звучали на разнообразных заседаниях, посвященных стратегии развития сектора. Вчера предприниматели вновь рассказывали о том, что зачастую искусственно сдерживают рост ради сохранения МСП-льгот. Возможно, подобные признания подействовали на представителей правительства — Михаил Мишустин поручил Минэкономики и Минфину разработать критерии компаний, которые смогут попасть в категорию МСП+, а также предложить для них меры поддержки. С учетом того, что власти рассчитывают на качественный рост сектора, возвращение к этой теме выглядит логичным: растущих компаний в приоритетных отраслях на фоне концентрации на них господдержки будет больше.</w:t>
      </w:r>
    </w:p>
    <w:p w14:paraId="57126121" w14:textId="77777777" w:rsidR="00593D6A" w:rsidRDefault="00593D6A" w:rsidP="00593D6A">
      <w:r>
        <w:t>Кристина Боровикова</w:t>
      </w:r>
    </w:p>
    <w:p w14:paraId="77250E72" w14:textId="77777777" w:rsidR="00593D6A" w:rsidRDefault="00593D6A" w:rsidP="00593D6A">
      <w:pPr>
        <w:pStyle w:val="2"/>
      </w:pPr>
      <w:bookmarkStart w:id="137" w:name="_Hlk198618609"/>
      <w:bookmarkStart w:id="138" w:name="_Toc198618927"/>
      <w:r>
        <w:t>Коммерсантъ</w:t>
      </w:r>
      <w:r w:rsidRPr="00364B06">
        <w:t xml:space="preserve">, </w:t>
      </w:r>
      <w:r>
        <w:t>19.05.2025</w:t>
      </w:r>
      <w:r w:rsidRPr="00364B06">
        <w:t xml:space="preserve">, </w:t>
      </w:r>
      <w:r>
        <w:t>Активы большими банками</w:t>
      </w:r>
      <w:bookmarkEnd w:id="138"/>
    </w:p>
    <w:p w14:paraId="63A814FC" w14:textId="77777777" w:rsidR="00593D6A" w:rsidRDefault="00593D6A" w:rsidP="00593D6A">
      <w:pPr>
        <w:pStyle w:val="3"/>
      </w:pPr>
      <w:bookmarkStart w:id="139" w:name="_Toc198618928"/>
      <w:r>
        <w:t>По итогам первого квартала 2025 года банки уже ощутили сокращение кредитования и тренд сохранится, считают эксперты. В таких условиях прибыль банковского сектора не достигнет прошлогоднего результата и составит 3,1–3,3 трлн руб. При этом в наиболее комфортном положении окажутся банки из топ-10, их доля в совокупных активах банковской системы может достичь по итогам года 81,5% против 77% годом ранее.</w:t>
      </w:r>
      <w:bookmarkEnd w:id="139"/>
    </w:p>
    <w:p w14:paraId="423A0534" w14:textId="70D98C05" w:rsidR="00593D6A" w:rsidRDefault="00593D6A" w:rsidP="00593D6A">
      <w:r>
        <w:t xml:space="preserve">Рейтинговое агентство «Эксперт РА» пересмотрело свой прогноз по прибыли банковского сектора в пользу снижения. «По итогам первого квартала 2025 года во всех сегментах кредитования наблюдалась более существенное охлаждение, чем мы ожидали несколько месяцев </w:t>
      </w:r>
      <w:r w:rsidR="00364B06">
        <w:t>назад, —</w:t>
      </w:r>
      <w:r>
        <w:t xml:space="preserve"> пояснила директор по банковским рейтингам "Эксперт РА" Ксения </w:t>
      </w:r>
      <w:r w:rsidR="00364B06">
        <w:t>Якушкина. —</w:t>
      </w:r>
      <w:r>
        <w:t xml:space="preserve"> За первые три месяца активы банковского сектора сократились на 3,5%». «Мы пересмотрели свой прогноз по темпам роста кредитных портфелей по итогам 2025 года, что, в свою очередь, отразилось на наших ожиданиях по прибыли сектора: теперь она оценивается в диапазоне 3,1–3,3 трлн руб. против прежнего прогноза (от 25 </w:t>
      </w:r>
      <w:r w:rsidR="00364B06">
        <w:t>февраля. —</w:t>
      </w:r>
      <w:r>
        <w:t xml:space="preserve"> “Ъ”) в 3,4–3,6 трлн руб.</w:t>
      </w:r>
      <w:r w:rsidR="00364B06">
        <w:t>», —</w:t>
      </w:r>
      <w:r>
        <w:t xml:space="preserve"> отмечает госпожа Якушева.</w:t>
      </w:r>
    </w:p>
    <w:p w14:paraId="46E666D2" w14:textId="77777777" w:rsidR="00593D6A" w:rsidRDefault="00593D6A" w:rsidP="00593D6A">
      <w:r>
        <w:t>При этом уже по итогам первого квартала наблюдается сокращение прибыли кредитных организаций: совокупный финансовый результат сектора составил 750 млрд руб., что на 17% ниже, чем годом ранее.</w:t>
      </w:r>
    </w:p>
    <w:p w14:paraId="10035258" w14:textId="77F73DFE" w:rsidR="00593D6A" w:rsidRDefault="00593D6A" w:rsidP="00593D6A">
      <w:r>
        <w:t xml:space="preserve">В 2024 году банковский сектор заработал рекордные 3,8 трлн руб. «Заметное влияние на финансовый результат сектора в первом квартале оказала отрицательная валютная переоценка вследствие заметного укрепления рубля с начала </w:t>
      </w:r>
      <w:r w:rsidR="00364B06">
        <w:t>года, —</w:t>
      </w:r>
      <w:r>
        <w:t xml:space="preserve"> указывает управляющий директор НКР Михаил Доронкин.— Без учета этого фактора прибыль была бы сопоставима с первым кварталом прошлого года. В последующие месяцы мы не ожидаем схожего влияния указанного фактора на рынок. Мы продолжаем придерживаться сценария получения сектором прибыли на уровне, сопоставимом с </w:t>
      </w:r>
      <w:r>
        <w:lastRenderedPageBreak/>
        <w:t>2024 годом». На прибыль банков в 2025 году будут влиять три основных фактора: падение доходности розничного кредитования, увеличение резервов и затрат на фондирование и сокращение маржи из-за конкуренции за надежных заемщиков, поэтому стоит ожидать ее снижения до уровня около 3 трлн руб., полагает партнер АКГ «Юникон» Денис Тарадов.</w:t>
      </w:r>
    </w:p>
    <w:p w14:paraId="6A7ABB74" w14:textId="77777777" w:rsidR="00593D6A" w:rsidRDefault="00593D6A" w:rsidP="00593D6A">
      <w:r>
        <w:t>В «Эксперт РА» не ожидают значительного смягчения денежно-кредитной политики — потенциал снижения ключевой ставки, по мнению агентства, не превышает 3 п. п., что станет основным фактором, ограничивающим рост кредитных портфелей, подчеркивают там.</w:t>
      </w:r>
    </w:p>
    <w:p w14:paraId="017647E8" w14:textId="20D78A42" w:rsidR="00593D6A" w:rsidRDefault="00593D6A" w:rsidP="00593D6A">
      <w:r>
        <w:t xml:space="preserve">«Даже если ЦБ РФ перейдет к смягчению политики во втором полугодии этого года, "кредитного ренессанса" (перехода от сберегательной к потребительской модели поведения), по нашей оценке, стоит ожидать не ранее второй половины 2026 года»,— указывают в ВТБ. </w:t>
      </w:r>
      <w:r w:rsidR="00364B06">
        <w:t>В таких условиях</w:t>
      </w:r>
      <w:r>
        <w:t xml:space="preserve"> ожидают в «Эксперт РА», портфель крупных корпоративных кредитов сможет показать увеличение в пределах 5% по итогам года, в МСБ — плюс 11%. Объем потребительского кредитования может сократиться на 10%, автокредитов упасть на 5%, ипотеки — показать рост до 3%.</w:t>
      </w:r>
    </w:p>
    <w:p w14:paraId="31B13EF0" w14:textId="35FD13E2" w:rsidR="00593D6A" w:rsidRDefault="00593D6A" w:rsidP="00593D6A">
      <w:r>
        <w:t xml:space="preserve">При этом в агентстве полагают, что по мере завершения сделок MA банковский сектор продолжит рост концентрации на топ-10, чья доля может достигнуть 81,5% к концу года против 77% на начало 2023 года, при этом доля банков-финтехов все еще не превысит 1% в 2025 году (см. график). Конкуренция в секторе в этом году в разных сегментах будет определяться в первую очередь наличием капитала у банков (см. “Ъ” от 16 мая) и расстановкой приоритетов в его аллокации. «После ряда крупных сделок, а также сокращения бизнеса российских "дочек" иностранных банков за последние три года доля топ-10 заметно выросла до 80,7%, по данным ЦБ на 1 февраля,— отмечает управляющий по анализу банковского и финансового рынков ПСБ Дмитрий Грицкевич.— Прогноз "Эксперт РА" на уровне 81,5% по итогам 2025 года выглядит реалистическим». По словам управляющего партнера экспертной группы Veta Ильи Жарского, крупные банки будут иметь заметные преимущества в текущей ситуации, так как обладают достаточным капиталом и </w:t>
      </w:r>
      <w:r w:rsidR="00364B06">
        <w:t>технологическими ресурсами,</w:t>
      </w:r>
      <w:r>
        <w:t xml:space="preserve"> и они эффективнее справляются с регуляторной нагрузкой. «Дочерние банки маркетплейсов продолжат показывать опережающий рост активов, однако пока их доля остается незначительной — 0,2% на начало 2025 года, указывает господин Грицкевич.— Через пять-семь лет они, вероятно, смогут составить конкуренцию крупным универсальным банкам в трансакционном сегменте, по средствам физлиц и кредитованию МСБ, а также в сегменте BNPL».</w:t>
      </w:r>
    </w:p>
    <w:p w14:paraId="77C844BE" w14:textId="77777777" w:rsidR="00593D6A" w:rsidRDefault="00593D6A" w:rsidP="00593D6A">
      <w:r>
        <w:t>Ксения Дементьева</w:t>
      </w:r>
    </w:p>
    <w:p w14:paraId="59022445" w14:textId="77777777" w:rsidR="00593D6A" w:rsidRDefault="00593D6A" w:rsidP="00593D6A">
      <w:pPr>
        <w:pStyle w:val="2"/>
      </w:pPr>
      <w:bookmarkStart w:id="140" w:name="_Toc198618929"/>
      <w:bookmarkEnd w:id="137"/>
      <w:r>
        <w:lastRenderedPageBreak/>
        <w:t>Коммерсантъ</w:t>
      </w:r>
      <w:r w:rsidRPr="00593D6A">
        <w:t xml:space="preserve">, </w:t>
      </w:r>
      <w:r>
        <w:t>20.05.2025</w:t>
      </w:r>
      <w:r w:rsidRPr="00593D6A">
        <w:t xml:space="preserve">, </w:t>
      </w:r>
      <w:r>
        <w:t>Рынок перезвонит</w:t>
      </w:r>
      <w:bookmarkEnd w:id="140"/>
    </w:p>
    <w:p w14:paraId="42365B3C" w14:textId="77777777" w:rsidR="00593D6A" w:rsidRDefault="00593D6A" w:rsidP="00593D6A">
      <w:pPr>
        <w:pStyle w:val="3"/>
      </w:pPr>
      <w:bookmarkStart w:id="141" w:name="_Toc198618930"/>
      <w:r>
        <w:t>Окончание очередных телефонных переговоров президентов России и США вызвало бурную реакцию рынка, однако повторить показатели трехмесячной давности не удалось. В первые 15 минут после первых сообщений об их итогах индекс Московской биржи колебался в диапазоне 2860–2900 пунктов, а объем торгов составил 10 млрд руб. Инвесторов удовлетворяет сам факт того, что контакты на уровне президентов двух стран продолжаются.</w:t>
      </w:r>
      <w:bookmarkEnd w:id="141"/>
    </w:p>
    <w:p w14:paraId="3A56E36A" w14:textId="77777777" w:rsidR="00593D6A" w:rsidRDefault="00593D6A" w:rsidP="00593D6A">
      <w:r>
        <w:t>Завершение широко анонсированного телефонного разговора Владимира Путина и Дональда Трампа вызвало бурную реакцию на вечерней торговой сессии Московской биржи. Индекс IMOEX2 (рассчитывается на утренней и дневной сессиях) несколько раз поднимался выше уровня 2900 пунктов и откатывался ниже 2870 пунктов. Объем торгов в первые 15 минут после оглашения итогов переговоров достиг 10 млрд руб., четверти от объема торгов в основную сессию. К 20:30 индекс находился на отметке 2875 пунктов, на 1% выше закрытия торгов в минувшую пятницу.</w:t>
      </w:r>
    </w:p>
    <w:p w14:paraId="325F3273" w14:textId="77777777" w:rsidR="00593D6A" w:rsidRDefault="00593D6A" w:rsidP="00593D6A">
      <w:r>
        <w:t>«У участников рынка были позитивные ожидания, но на данный момент ничего нового мы не услышали, а волатильность — обыденное явление после ожидаемого события»,— рассказал аналитик инвесткомпании «Цифра брокер» Иван Ефанов.</w:t>
      </w:r>
    </w:p>
    <w:p w14:paraId="091F308F" w14:textId="77777777" w:rsidR="00593D6A" w:rsidRDefault="00593D6A" w:rsidP="00593D6A">
      <w:r>
        <w:t>Как отмечает эксперт по фондовому рынку «БКС Мир инвестиций» Дмитрий Бабин, «первоначальная реакция была в виде импульса роста: индекс Московской биржи приближался к дневной вершине, установленной на старте утренней сессии, но быстро откатился от нее в район дневного минимума». По его словам, на нефтяном рынке в то же время произошли аналогичные, но противоположные индексу движения. «Скорее всего, участники оценивают вероятность ужесточения антироссийских санкций после переговоров лидеров РФ и США, в том числе против нефтегазового сектора»,— считает господин Бабин.</w:t>
      </w:r>
    </w:p>
    <w:p w14:paraId="0C969C11" w14:textId="77777777" w:rsidR="00593D6A" w:rsidRDefault="00593D6A" w:rsidP="00593D6A">
      <w:r>
        <w:t>Два месяца назад первый вечерний телефонный разговор двух президентов вызвал значительно более резкую реакцию — индекс поднимался на 10%, а объем торгов превысил 358 млрд руб. (см. “Ъ” от 14 февраля). Однако с тех пор сверхпозитивные ожидания инвесторов заметно скорректировались, а индекс Московской биржи потерял более 10%.</w:t>
      </w:r>
    </w:p>
    <w:p w14:paraId="08EE01E9" w14:textId="77777777" w:rsidR="00593D6A" w:rsidRDefault="00593D6A" w:rsidP="00593D6A">
      <w:r>
        <w:t>Торговую сессию 19 мая инвесторы на российском фондовом рынке начинали с игры на повышение. При открытии утренней сессии индекс Московской биржи вырос почти на 2%, превысив уровень 2900 пунктов, однако к началу основной сессии оптимизм поубавился. Ближе к 11:00 индекс опускался ниже отметки 2870 пунктов, что лишь на 0,8% выше значений закрытия вечерней сессии пятницы. Однако в дальнейшем борьба «быков» и «медведей» с переменным успехом продолжалась до конца основной сессии.</w:t>
      </w:r>
    </w:p>
    <w:p w14:paraId="2DCBF0EE" w14:textId="77777777" w:rsidR="00593D6A" w:rsidRDefault="00593D6A" w:rsidP="00593D6A">
      <w:r>
        <w:t xml:space="preserve">Инвесторы позитивно реагируют почти на любое продолжение переговоров по российско-украинскому конфликту, однако мало кто из них ждет существенного прорыва по этому вопросу в ближайшее время. «Инвесторы считают, что продолжение диалога хорошо в любой форме, а если регулярного диалога не будет или он забуксует надолго, то риск новых санкций вырастает»,— отмечает начальник департамента по доверительному управлению активами «Ренессанс Капитала» Игорь Даниленко. По мнению аналитика УК «Ингосстрах-Инвестиции» Артема Аутлева, реакция рынка </w:t>
      </w:r>
      <w:r>
        <w:lastRenderedPageBreak/>
        <w:t>достаточно сдержанная, так как итоги переговоров могут быть как позитивными, так и негативными.</w:t>
      </w:r>
    </w:p>
    <w:p w14:paraId="03E6B787" w14:textId="77777777" w:rsidR="00593D6A" w:rsidRDefault="00593D6A" w:rsidP="00593D6A">
      <w:r>
        <w:t>Именно поэтому сообщение Reuters, появившееся во второй половине дня, о том, что Евросоюз предложит министрам финансов стран G7 снизить потолок цен на российскую нефть с $60 до $50 за баррель, вызвало новую волну продаж и снижение индекса. Встреча министров финансов G7 пройдет на этой неделе в Канаде. По данным Минфина, средняя цена Urals в апреле составила $54,76 за баррель, что на 7% ниже показателя марта. Ниже уровня $60 цены держатся второй месяц подряд.</w:t>
      </w:r>
    </w:p>
    <w:p w14:paraId="451B5A15" w14:textId="77777777" w:rsidR="00593D6A" w:rsidRDefault="00593D6A" w:rsidP="00593D6A">
      <w:r>
        <w:t>Ожидания переговоров на непродолжительное время вернули курс доллара на российском рынке ниже уровня 80 руб./$. Однако, по данным Investing.com, курс американской валюты к 18:00 составил 80,35 руб./$. По мнению руководителя аналитического управления банка «Зенит» Владимира Евстифеева, укрепление рубля обеспечено слабостью американской валюты на мировом рынке. В ходе торгов понедельника индекс DXY опускался на 0,8%, почти до 100 пунктов. «Доллар дешевеет на глобальном рынке в результате снижения кредитного рейтинга США агентством Moody’s, что лишило США наивысшего суверенного рейтинга от всех агентств большой тройки»,— отмечает господин Евстифеев. Для роста российского рынка акций одних переговоров уже мало, нужны конкретные договоренности, но пока предпосылок для этого участники рынка не видят.</w:t>
      </w:r>
    </w:p>
    <w:p w14:paraId="455BBFA1" w14:textId="77777777" w:rsidR="00593D6A" w:rsidRPr="00593D6A" w:rsidRDefault="00593D6A" w:rsidP="00593D6A">
      <w:r>
        <w:t>Виталий Гайдаев, Андрей Ковалёв</w:t>
      </w:r>
    </w:p>
    <w:p w14:paraId="6BD361D2" w14:textId="77777777" w:rsidR="00593D6A" w:rsidRDefault="00593D6A" w:rsidP="00593D6A">
      <w:pPr>
        <w:pStyle w:val="2"/>
      </w:pPr>
      <w:bookmarkStart w:id="142" w:name="_Toc198618931"/>
      <w:r>
        <w:t>Ведомости</w:t>
      </w:r>
      <w:r w:rsidRPr="00593D6A">
        <w:t xml:space="preserve">, </w:t>
      </w:r>
      <w:r>
        <w:t>20.05.2025</w:t>
      </w:r>
      <w:r w:rsidRPr="00593D6A">
        <w:t xml:space="preserve">, </w:t>
      </w:r>
      <w:r>
        <w:t>Половина компаний готовы тратить на киберучения от 500 000 рублей на сотрудника</w:t>
      </w:r>
      <w:bookmarkEnd w:id="142"/>
    </w:p>
    <w:p w14:paraId="275CA96E" w14:textId="77777777" w:rsidR="00593D6A" w:rsidRDefault="00593D6A" w:rsidP="00593D6A">
      <w:pPr>
        <w:pStyle w:val="3"/>
      </w:pPr>
      <w:bookmarkStart w:id="143" w:name="_Toc198618932"/>
      <w:r>
        <w:t>Почти половина российских компаний (42%) готовы выделить до 500 000 руб. на участие в киберучениях одного специалиста. Eще 10% организаций могут потратить до 1 млн руб. на сотрудника и 4% компаний - свыше 1 млн руб. на одного киберзащитника. Об этом говорится в исследовании "Солара" (есть в распоряжении "Ведомостей"), в котором приняли участие 150 представителей компаний из финансового сектора, IT, электронной коммерции, телекома, промышленности и госсектора. Из них 22% респондентов представляли крупный бизнес, 40% - компании среднего уровня, 38% - малый бизнес.</w:t>
      </w:r>
      <w:bookmarkEnd w:id="143"/>
    </w:p>
    <w:p w14:paraId="28DCA96B" w14:textId="77777777" w:rsidR="00593D6A" w:rsidRDefault="00593D6A" w:rsidP="00593D6A">
      <w:r>
        <w:t>Киберучения включают тренировку навыков и действий специалистов по информационной безопасности в случае кибератаки, а также разбор различных сценариев атак, используемых хакерами. Согласно исследованию, 45% компаний готовы обучать от 3 до 10 человек, а 29% - от 10 до 50 киберзащитников. В целом год к году на 10 п. п. увеличилась доля компаний, планирующих проводить киберучения, - с 75% в 2024 г. до 85% в 2025 г. При этом 20% компаний планируют проводить киберучения раз в месяц, 35% опрошенных - раз в квартал и 27% - раз в полугодие.</w:t>
      </w:r>
    </w:p>
    <w:p w14:paraId="345C3A26" w14:textId="77777777" w:rsidR="00593D6A" w:rsidRDefault="00593D6A" w:rsidP="00593D6A">
      <w:r>
        <w:t>Представитель "Солара" отметил, что 85% опрошенных компаний планируют организовать различные типы учений для своих сотрудников в 2025 г., тогда как за прошлый год их провели около 60% опрошенных организаций. В декабре 2024 г. газета "Коммерсантъ" сообщала, что спрос на киберобучение со стороны финансовых организаций за год вырос на 34% относительно показателей 2023 г.</w:t>
      </w:r>
    </w:p>
    <w:p w14:paraId="512F9A32" w14:textId="77777777" w:rsidR="00593D6A" w:rsidRDefault="00593D6A" w:rsidP="00593D6A">
      <w:r>
        <w:lastRenderedPageBreak/>
        <w:t>Основным драйвером спроса на киберучения остаются нехватка квалифицированных кадров и недостаток компетенций у специалистов для отражения сложных кибератак, уточняет директор департамента "Киберполигон" ГК "Солар" Сергей Кулаков.</w:t>
      </w:r>
    </w:p>
    <w:p w14:paraId="2A3B5A90" w14:textId="77777777" w:rsidR="00593D6A" w:rsidRDefault="00593D6A" w:rsidP="00593D6A">
      <w:r>
        <w:t>Eсли сравнивать интерес компаний к киберучениям в первом полугодии 2024 г. и на текущий момент, то спрос на такие мероприятия растет и сегодня полностью удовлетворяется крупными игроками, говорит замдиректора Центра компетенций НТИ "Технологии доверенного взаимодействия" на базе ТУСУРа Руслан Пермяков. "Инвестиции в киберучения оправданны, особенно в условиях роста числа кибератак и ужесточения требований регуляторов", - подчеркивает собеседник.</w:t>
      </w:r>
    </w:p>
    <w:p w14:paraId="420E1D74" w14:textId="77777777" w:rsidR="00593D6A" w:rsidRDefault="00593D6A" w:rsidP="00593D6A">
      <w:r>
        <w:t>Интерес бизнеса к киберучениям, внутренним тренингам для персонала и сотрудников служб ИБ действительно вырос и прежде всего это связано с резким ростом количества атак, с которыми российские компании столкнулись после 2022 г., говорит ведущий кейс-аналитик ГК InfoWatch Эликс Смирнов.</w:t>
      </w:r>
    </w:p>
    <w:p w14:paraId="328CCE7F" w14:textId="77777777" w:rsidR="00593D6A" w:rsidRDefault="00593D6A" w:rsidP="00593D6A">
      <w:r>
        <w:t>По данным Центра противодействия кибератакам Solar JSOC, в 2024 г. было выявлено более 31 000 инцидентов в организациях, относящихся к государственному, финансовому и телекоммуникационному секторам, нефтегазовой отрасли, энергетике, крупному ритейлу. Наибольшее число инцидентов, в том числе с высокой критичностью, были вызваны заражением инфраструктуры вредоносным ПО (40%), эксплуатацией уязвимостей, веб- и сетевыми атаками, компрометацией информационных систем.</w:t>
      </w:r>
    </w:p>
    <w:p w14:paraId="5EDAB26E" w14:textId="77777777" w:rsidR="00593D6A" w:rsidRDefault="00593D6A" w:rsidP="00593D6A">
      <w:r>
        <w:t>Сейчас компании все больше интересуются комплексным обеспечением безопасности в целом, в части как внедрения технических мер, так и обучения персонала, в том числе киберучений, подтверждает партнер, руководитель практики Tech юридической фирмы Comply Сергей Сайганов. "Эти меры в первую очередь позволяют снизить фактическую вероятность утечки. А если утечка все же случится, то документальное подтверждение применения таких мер оператором персональных данных даст основания просить суд снизить размер возможного штрафа - особенно если утечка повторная", - подчеркивает юрист.</w:t>
      </w:r>
    </w:p>
    <w:p w14:paraId="06FC0D11" w14:textId="77777777" w:rsidR="00593D6A" w:rsidRDefault="00593D6A" w:rsidP="00593D6A">
      <w:r>
        <w:t>С 30 мая 2025 г. в России вступает в силу новый закон, который вводит оборотные штрафы за повторные случаи утечки персональных данных, а также уголовную ответственность для лиц, допустивших утечку. Новый закон влияет на принятие решений у компаний, соглашается гендиректор группы компаний ST IT, эксперт рынка TechNet НТИ Антон Аверьянов, но у компаний в целом вырос уровень принятия того, что кибербезопасностью необходимо заниматься. Ведь вредят не только утечки, но и потери данных, остановки работы критически важных ресурсов и т. п., уточняет он.</w:t>
      </w:r>
    </w:p>
    <w:p w14:paraId="0E8DF642" w14:textId="77777777" w:rsidR="00593D6A" w:rsidRDefault="00593D6A" w:rsidP="00593D6A">
      <w:r>
        <w:t>Киберучения - это полезный инструмент, как минимум потому, что большой объем информации по ИБ просто не входит в образовательные программы вузов, отмечает Смирнов. "Как показывает практика, довольно много инцидентов происходят из-за банальных ошибок - например, из-за отсутствия системы двухфакторной аутентификации, неверно настроенных политик безопасности и т. д.", - приводит пример эксперт.</w:t>
      </w:r>
    </w:p>
    <w:p w14:paraId="772CF47A" w14:textId="77777777" w:rsidR="00593D6A" w:rsidRDefault="00593D6A" w:rsidP="00593D6A">
      <w:r>
        <w:t xml:space="preserve">Одним из важнейших факторов безопасности является обученность сотрудников, подтверждает Аверьянов. "Нет смысла в системах защиты, если сотрудник открывает </w:t>
      </w:r>
      <w:r>
        <w:lastRenderedPageBreak/>
        <w:t>явное фишинговое письмо и непреднамеренно запускает пользователя сразу внутрь системы. Поэтому такие обучения важно проводить", - подчеркивает эксперт.</w:t>
      </w:r>
    </w:p>
    <w:p w14:paraId="12ABD67F" w14:textId="77777777" w:rsidR="00593D6A" w:rsidRDefault="00593D6A" w:rsidP="00593D6A">
      <w:r>
        <w:t>Мария Арялина</w:t>
      </w:r>
    </w:p>
    <w:p w14:paraId="65508872" w14:textId="77777777" w:rsidR="00593D6A" w:rsidRPr="00593D6A" w:rsidRDefault="00593D6A" w:rsidP="00593D6A">
      <w:pPr>
        <w:pStyle w:val="2"/>
      </w:pPr>
      <w:bookmarkStart w:id="144" w:name="_Toc198609688"/>
      <w:bookmarkStart w:id="145" w:name="_Toc198618933"/>
      <w:r w:rsidRPr="00593D6A">
        <w:t>Известия</w:t>
      </w:r>
      <w:r w:rsidRPr="00364B06">
        <w:t xml:space="preserve">, </w:t>
      </w:r>
      <w:r w:rsidRPr="00593D6A">
        <w:t>20.05.2025</w:t>
      </w:r>
      <w:r w:rsidRPr="00364B06">
        <w:t xml:space="preserve">, </w:t>
      </w:r>
      <w:r w:rsidRPr="00593D6A">
        <w:rPr>
          <w:rFonts w:eastAsia="Verdana"/>
        </w:rPr>
        <w:t>Провал комиссии</w:t>
      </w:r>
      <w:bookmarkEnd w:id="144"/>
      <w:bookmarkEnd w:id="145"/>
    </w:p>
    <w:p w14:paraId="5D8F7419" w14:textId="77777777" w:rsidR="00593D6A" w:rsidRPr="00593D6A" w:rsidRDefault="00593D6A" w:rsidP="00593D6A">
      <w:pPr>
        <w:pStyle w:val="3"/>
      </w:pPr>
      <w:bookmarkStart w:id="146" w:name="_Toc198618934"/>
      <w:r w:rsidRPr="00593D6A">
        <w:t>Россияне в начале 2025-го стали жаловаться на проблемы с ипотекой в полтора раза чаще, сообщили "Известиям" в ЦБ. Большинство обращений связано с ростом цен на жильё, покупаемое по семейной программе, - из-за того, что банки брали с застройщиков комиссии за каждый кредит в размере 4-10% годовых, и эта сумма в итоге закладывалась в стоимость недвижимости. Хотя в мае рынок под давлением ЦБ начал отказываться от такой практики, последствия можно назвать необратимыми. Стоимость квадратного метра в РФ только в прошлом году выросла на четверть. Что будет с ценами на жильё дальше - в материале "Известий".</w:t>
      </w:r>
      <w:bookmarkEnd w:id="146"/>
    </w:p>
    <w:p w14:paraId="6365D87E" w14:textId="77777777" w:rsidR="00593D6A" w:rsidRPr="00593D6A" w:rsidRDefault="00593D6A" w:rsidP="00593D6A">
      <w:r w:rsidRPr="00593D6A">
        <w:t>За первый квартал 2025 года Банк России получил 4,6 тыс. жалоб по вопросам ипотечного кредитования - это на 60% больше, чем за январь-март прошлого года, сообщили "Известиям" в пресс-службе регулятора. Основная причина недовольства россиян - проблемы, связанные с семейной ипотекой. Количество претензий к выдачам по этой программе увеличилось почти всемеро.</w:t>
      </w:r>
    </w:p>
    <w:p w14:paraId="552F4BD0" w14:textId="77777777" w:rsidR="00593D6A" w:rsidRPr="00593D6A" w:rsidRDefault="00593D6A" w:rsidP="00593D6A">
      <w:r w:rsidRPr="00593D6A">
        <w:t>- В частности, потребители жалуются, что банки взимают плату с застройщика за установление пониженной процентной ставки по договору. Это влечёт увеличение цены объекта недвижимости, - пояснили в ЦБ.</w:t>
      </w:r>
    </w:p>
    <w:p w14:paraId="127C55F0" w14:textId="77777777" w:rsidR="00593D6A" w:rsidRPr="00593D6A" w:rsidRDefault="00593D6A" w:rsidP="00593D6A">
      <w:r w:rsidRPr="00593D6A">
        <w:t>Такая практика появилась в конце 2023 года - тогда крупные банки начали вводить для застройщиков комиссии для льготной ипотеки. Если девелопер хотел продавать больше жилья с помощью программ господдержки, ему приходилось платить кредитной организации, в которой оформлялась жилищная ссуда. У разных игроков размер такой комиссии достигал 4-10%.</w:t>
      </w:r>
    </w:p>
    <w:p w14:paraId="46F996D4" w14:textId="77777777" w:rsidR="00593D6A" w:rsidRPr="00593D6A" w:rsidRDefault="00593D6A" w:rsidP="00593D6A">
      <w:r w:rsidRPr="00593D6A">
        <w:t>Рынок уже начал отказываться от этой практики. В мае 2025-го комиссии перестали взимать Сбер, ВТБ и Совкомбанк, о планах отказаться от них сообщили в банке "Дом.РФ". Опрошенные "Известиями" эксперты уверены, что это произошло под давлением ЦБ. Против этой практики выступал даже президент Владимир Путин.</w:t>
      </w:r>
    </w:p>
    <w:p w14:paraId="701C1728" w14:textId="77777777" w:rsidR="00593D6A" w:rsidRPr="00593D6A" w:rsidRDefault="00593D6A" w:rsidP="00593D6A">
      <w:r w:rsidRPr="00593D6A">
        <w:t>- Реальных предпосылок для отмены комиссий сейчас нет, ведь льготная ипотека для банков не очень выгодный продукт, - подчеркнул старший директор по банковским рейтингам "Эксперт РА" Иван Уклеин.</w:t>
      </w:r>
    </w:p>
    <w:p w14:paraId="00B15910" w14:textId="77777777" w:rsidR="00593D6A" w:rsidRPr="00593D6A" w:rsidRDefault="00593D6A" w:rsidP="00593D6A">
      <w:r w:rsidRPr="00593D6A">
        <w:t>Банки сейчас выдают семейную ипотеку по льготной ставке 6%, но рыночные - гораздо выше: по подсчётам "Известий", они достигают 32% у топ-5 игроков. При этом государство возмещает сумму годовых процентов по госпрограммам, равную ключевой ставке (сейчас 21%) + 3 п.п. (то есть в сумме 24%). Для банков такой продукт немаржинален - в обычных условиях они могли бы заработать на подобном кредите на треть больше.</w:t>
      </w:r>
    </w:p>
    <w:p w14:paraId="2EB27449" w14:textId="77777777" w:rsidR="00593D6A" w:rsidRPr="00593D6A" w:rsidRDefault="00593D6A" w:rsidP="00593D6A">
      <w:r w:rsidRPr="00593D6A">
        <w:t>Хотя банки отказываются от комиссий для застройщиков, последствия их действий в прошлом году можно назвать необратимыми.</w:t>
      </w:r>
    </w:p>
    <w:p w14:paraId="0F23D437" w14:textId="77777777" w:rsidR="00593D6A" w:rsidRPr="00593D6A" w:rsidRDefault="00593D6A" w:rsidP="00593D6A">
      <w:r w:rsidRPr="00593D6A">
        <w:lastRenderedPageBreak/>
        <w:t>- Застройщики, вынужденные платить комиссии банкам, закладывали их в стоимость жилья, что поддерживало цены на высоком уровне, - пояснил Иван Уклеин из "Эксперт РА".</w:t>
      </w:r>
    </w:p>
    <w:p w14:paraId="6C90E9BA" w14:textId="77777777" w:rsidR="00593D6A" w:rsidRPr="00593D6A" w:rsidRDefault="00593D6A" w:rsidP="00593D6A">
      <w:r w:rsidRPr="00593D6A">
        <w:t>Комиссии банков можно считать одним из ключевых факторов, усиливших разгон цен на недвижимость в 2024 году, уверен Владимир Чернов из Freedom Finance Global. В четвёртом квартале 2024-го цены на квадратный метр на первичном рынке в среднем достигли 178 тыс. рублей - это на 26% больше, чем в октябре-декабре предыдущего года, следует из данных ЦБ. При этом по итогам 2023-го стоимость недвижимости росла медленнее - только на 15%.</w:t>
      </w:r>
    </w:p>
    <w:p w14:paraId="0E637F6B" w14:textId="77777777" w:rsidR="00593D6A" w:rsidRPr="00593D6A" w:rsidRDefault="00593D6A" w:rsidP="00593D6A">
      <w:r w:rsidRPr="00593D6A">
        <w:t>Отмена комиссий не приведёт к снижению цен на жильё, уверен Иван Уклеин. Недвижимость дорожает из-за любого импульса, но в обратную сторону эти скачки корректируются крайне редко. Застройщики используют лишь точечные скидки из-за сокращения спроса, но в целом он остаётся высоким, поэтому цены неизбежно продолжают расти.</w:t>
      </w:r>
    </w:p>
    <w:p w14:paraId="1A1BEAE3" w14:textId="77777777" w:rsidR="00593D6A" w:rsidRPr="00593D6A" w:rsidRDefault="00593D6A" w:rsidP="00593D6A">
      <w:r w:rsidRPr="00593D6A">
        <w:t>При этом к подорожанию жилья ведёт и общая инфляция на строительном рынке, упомянул экономист Андрей Бархота. Игроки сталкиваются с удорожанием и материалов, и строительно-монтажных работ. Тем не менее цены на недвижимость стабильно обгоняют средние темпы инфляции в РФ.</w:t>
      </w:r>
    </w:p>
    <w:p w14:paraId="3C0ED717" w14:textId="77777777" w:rsidR="00593D6A" w:rsidRPr="00593D6A" w:rsidRDefault="00593D6A" w:rsidP="00593D6A">
      <w:r w:rsidRPr="00593D6A">
        <w:t>- Застройщики сейчас могут говорить абсолютно обо всём как о факторе в пользу роста цен. Сильная инфляция? Растут цены. Слабая инфляция? Тоже растут цены. Высокая ключевая? Цены растут, потому что деньги от банков дорожают. Низкая? Спрос пошёл вверх, - пояснил экономист Алексей Кричевский.</w:t>
      </w:r>
    </w:p>
    <w:p w14:paraId="205E51EB" w14:textId="77777777" w:rsidR="00593D6A" w:rsidRPr="00593D6A" w:rsidRDefault="00593D6A" w:rsidP="00593D6A">
      <w:r w:rsidRPr="00593D6A">
        <w:t>Евгений Грачев</w:t>
      </w:r>
    </w:p>
    <w:p w14:paraId="5D795F90" w14:textId="77777777" w:rsidR="00593D6A" w:rsidRDefault="00593D6A" w:rsidP="00593D6A">
      <w:pPr>
        <w:pStyle w:val="2"/>
      </w:pPr>
      <w:bookmarkStart w:id="147" w:name="_Hlk198618656"/>
      <w:bookmarkStart w:id="148" w:name="_Toc198618935"/>
      <w:r>
        <w:t>Известия</w:t>
      </w:r>
      <w:r w:rsidRPr="00364B06">
        <w:t xml:space="preserve">, </w:t>
      </w:r>
      <w:r>
        <w:t>20.05.2025</w:t>
      </w:r>
      <w:r w:rsidRPr="00364B06">
        <w:t xml:space="preserve">, </w:t>
      </w:r>
      <w:r>
        <w:t>Ставка на ключевую</w:t>
      </w:r>
      <w:bookmarkEnd w:id="148"/>
    </w:p>
    <w:p w14:paraId="14540430" w14:textId="77777777" w:rsidR="00593D6A" w:rsidRDefault="00593D6A" w:rsidP="00593D6A">
      <w:pPr>
        <w:pStyle w:val="3"/>
      </w:pPr>
      <w:bookmarkStart w:id="149" w:name="_Toc198618936"/>
      <w:r>
        <w:t>В 2025 году экономика вырастет лишь на 1,7%, следует из консенсус-прогноза "Известий". Ожидания экспертов стали более скромными, так как за первый квартал динамика оказалась ниже прогнозов - Росстат предварительно оценил увеличение ВВП затри месяцавсего в 1,4% из-зажёсткой денежно-кредитной политики и внешних рисков. Вместе с тем замедляется инфляция. Это значит, что ЦБ следует как можно быстрее перейти к снижению ключевой - это поддержит экономику. При этом важно оценивать и продвижения в геополитике - в переговорах между Россией, США и Украиной. Каковы позитивный и негативный сценарии для роста нашей экономики - в материале "Известий".</w:t>
      </w:r>
      <w:bookmarkEnd w:id="149"/>
    </w:p>
    <w:p w14:paraId="763155FD" w14:textId="77777777" w:rsidR="00593D6A" w:rsidRDefault="00593D6A" w:rsidP="00593D6A">
      <w:r>
        <w:t>Шесть из опрошенных "Известиями" 15 экспертов полагают, что экономика в 2025 году вырастет на 2% и более. Восемь специалистов прогнозируют диапазон 1-2%. И лишь один аналитик ожидает подъёма ВВП в пределах 1%. Так, судя по консенсус-прогнозу редакции, экономика в этом году увеличится на 1,7%.</w:t>
      </w:r>
    </w:p>
    <w:p w14:paraId="5DBCBFB9" w14:textId="77777777" w:rsidR="00593D6A" w:rsidRDefault="00593D6A" w:rsidP="00593D6A">
      <w:r>
        <w:t>Самую позитивную оценку дали в "Цифра брокер" - там ждут повышения на 3%. А самую негативную - в "БКС Мир инвестиций", где ожидают роста на 0-1%. При этом в апрельском макропрогнозе Минэк закладывал увеличение экономики в 2025-м на 2,5%.</w:t>
      </w:r>
    </w:p>
    <w:p w14:paraId="2D13FCF1" w14:textId="77777777" w:rsidR="00593D6A" w:rsidRDefault="00593D6A" w:rsidP="00593D6A">
      <w:r>
        <w:lastRenderedPageBreak/>
        <w:t>Однако стоит учитывать более свежие данные. 16 мая Росстат опубликовал предварительную оценку по росту экономики в первом квартале - за первые три месяца ВВП увеличился на 1,4%. Это гораздо ниже, чем в предыдущий квартал (октябрь-декабрь 2024-го) - тогда показатель составил 4,5%. Всего же за прошлый год экономика прибавила 4,3% (с учётом результатов по всем кварталам).</w:t>
      </w:r>
    </w:p>
    <w:p w14:paraId="72DB7021" w14:textId="77777777" w:rsidR="00593D6A" w:rsidRDefault="00593D6A" w:rsidP="00593D6A">
      <w:r>
        <w:t>Значительное замедление экономического роста РФ можно сравнить с инерцией локомотива-накопленный негативный эффект от санкций, заградительной ключевой ставки и дисбаланса национальной экономики не только предопределяет замедление роста ВВП, но и даже несёт риски экономического спада, уверен независимый эксперт Андрей Бархота. По его словам, это особенно проявилось в обрабатывающей промышленности, не связанной с оборонным сегментом, а также в экономике домашних хозяйств.</w:t>
      </w:r>
    </w:p>
    <w:p w14:paraId="6769A63C" w14:textId="77777777" w:rsidR="00593D6A" w:rsidRDefault="00593D6A" w:rsidP="00593D6A">
      <w:r>
        <w:t>Ключевыми факторами роста российской экономики, с которыми коррелируют значения большинства макроэкономических показателей, остаются мировые цены на нефть, санкционное давление и глобальная конъюнктура, согласна доцент кафедры государственных и муниципальных финансов РЭУ им. Г.В. Плеханова Елена Воронкова.</w:t>
      </w:r>
    </w:p>
    <w:p w14:paraId="5B1B3C90" w14:textId="77777777" w:rsidR="00593D6A" w:rsidRDefault="00593D6A" w:rsidP="00593D6A">
      <w:r>
        <w:t>Основным фактором неопределённости остаётся геополитика - от вектора её развития будет зависеть структура экономики и государственных финансов. Переговоры между Россией, США и Украиной увеличивают напряжённость, пояснила руководитель отдела макроэкономического анализа ФГ "Финам" Ольга Беленькая.</w:t>
      </w:r>
    </w:p>
    <w:p w14:paraId="3EEF4850" w14:textId="77777777" w:rsidR="00593D6A" w:rsidRDefault="00593D6A" w:rsidP="00593D6A">
      <w:r>
        <w:t>- Срыв переговоров может привести к новым жёстким санкциям и даже вторичным пошлинам, которые могут быть усилены в случае синхронизации действий США и ЕС. Кроме того, возможно обострение боевых действий. Это может ухудшить условия внешней торговли для России, потребовать дальнейшего увеличения военных расходов, расширения бюджетного дефицита и ужесточения денежно-кредитной политики. В условиях уже наблюдаемого торможения экономики это может перевести её из режима мягкой посадки в режим рецессии, - считает Ольга Беленькая.</w:t>
      </w:r>
    </w:p>
    <w:p w14:paraId="7CB60365" w14:textId="77777777" w:rsidR="00593D6A" w:rsidRDefault="00593D6A" w:rsidP="00593D6A">
      <w:r>
        <w:t>Кроме того, среди внешних рисков для экономики России остаются торговые войны. Сейчас такое столкновение Вашингтона и Пекина отошло на второй план, потому что администрации обеих стран договорились о перемирии на 90 дней. Тем не менее на новый виток этого конфликта уже отреагировали котировки энергоресурсов - хотя в мае цены на нефть Brent и отыграли часть потерь, с начала года энергоресурсы подешевели на четверть.</w:t>
      </w:r>
    </w:p>
    <w:p w14:paraId="6DAD2DD4" w14:textId="77777777" w:rsidR="00593D6A" w:rsidRDefault="00593D6A" w:rsidP="00593D6A">
      <w:r>
        <w:t>Если стоимость нефти останется низкой, дефицит российской казны может увеличиться до 3,8 трлн рублей - именно такую цифру Минфин закладывает в обновлённый финансовый план (до этого недостача ожидалась в 1,2 трлн). Такие потери казны, в свою очередь, замедлят рост экономики, так как власти будут более сдержанно вкладываться в производство.</w:t>
      </w:r>
    </w:p>
    <w:p w14:paraId="27C40CD6" w14:textId="77777777" w:rsidR="00593D6A" w:rsidRDefault="00593D6A" w:rsidP="00593D6A">
      <w:r>
        <w:t xml:space="preserve">Ключевым внутриэкономическим риском для России остаются высокие ключевая и инфляция. Тем не менее ЦБ не будет спешить со снижением ставки. Для регулятора инфляционные риски, равно как и угрозы финансовой стабильности, остаются в значительной мере недооценёнными, полагает независимый эксперт Андрей Бархота. В </w:t>
      </w:r>
      <w:r>
        <w:lastRenderedPageBreak/>
        <w:t>апреле рост цен хотя и замедлился, но всё равно остаётся выше 10% в годовом выражении.</w:t>
      </w:r>
    </w:p>
    <w:p w14:paraId="272D3A19" w14:textId="77777777" w:rsidR="00593D6A" w:rsidRDefault="00593D6A" w:rsidP="00593D6A">
      <w:r>
        <w:t>По словам Елены Воронковой из РЭУ им. Г.В. Плеханова, ЦБ будет действовать аккуратно и приступит к понижению ключевой ставки не ранее середины года.</w:t>
      </w:r>
    </w:p>
    <w:p w14:paraId="0D1A8815" w14:textId="77777777" w:rsidR="00593D6A" w:rsidRDefault="00593D6A" w:rsidP="00593D6A">
      <w:r>
        <w:t>Сам переговорный процесс между РФ, СШ А иУкраиной на экономический рост не способен повлиять, однако если обсуждения на мировом уровне приведут к конкретным результатам в виде установления прочного мира и прекращения конфликта, то часть антироссийских санкций могут отменить, что поддержит ВВП, считает ведущий аналитик Freedom Finance Global</w:t>
      </w:r>
    </w:p>
    <w:p w14:paraId="4DE34D8B" w14:textId="77777777" w:rsidR="00593D6A" w:rsidRDefault="00593D6A" w:rsidP="00593D6A">
      <w:pPr>
        <w:pStyle w:val="2"/>
      </w:pPr>
      <w:bookmarkStart w:id="150" w:name="_Toc198618937"/>
      <w:bookmarkEnd w:id="147"/>
      <w:r>
        <w:t>Ежедневная деловая газета РБК</w:t>
      </w:r>
      <w:r w:rsidRPr="00593D6A">
        <w:t xml:space="preserve">, </w:t>
      </w:r>
      <w:r>
        <w:t>20.05.2025</w:t>
      </w:r>
      <w:r w:rsidRPr="00593D6A">
        <w:t xml:space="preserve">, </w:t>
      </w:r>
      <w:r>
        <w:t>Финтех как панацея</w:t>
      </w:r>
      <w:bookmarkEnd w:id="150"/>
    </w:p>
    <w:p w14:paraId="2422A504" w14:textId="77777777" w:rsidR="00593D6A" w:rsidRDefault="00593D6A" w:rsidP="00593D6A">
      <w:pPr>
        <w:pStyle w:val="3"/>
      </w:pPr>
      <w:bookmarkStart w:id="151" w:name="_Toc198618938"/>
      <w:r>
        <w:t>Российские банки ждет "радикальное охлаждение", полагает "Эксперт РА". Но выживут не только крупнейшие из них: свои позиции могут улучшить финтехигроки, например банки Ozon и "Яндекса". РБК разбирался - поможет ли это акциям их материнских компаний.</w:t>
      </w:r>
      <w:bookmarkEnd w:id="151"/>
    </w:p>
    <w:p w14:paraId="602143EC" w14:textId="77777777" w:rsidR="00593D6A" w:rsidRDefault="00593D6A" w:rsidP="00593D6A">
      <w:r>
        <w:t>Высокие ставки и жесткое регулирование ЦБ в кредитовании почти гарантируют российскому банковскому сектору радикальное охлаждение в 2025 году, считают аналитики рейтингового агентства "Эксперт РА". Как следует из их обзора (есть у РБК), чистая прибыль сектора сократится на 13-18% по сравнению с прошлогодним рекордным уровнем (3,8 трлн руб.).</w:t>
      </w:r>
    </w:p>
    <w:p w14:paraId="77379AC9" w14:textId="77777777" w:rsidR="00593D6A" w:rsidRDefault="00593D6A" w:rsidP="00593D6A">
      <w:r>
        <w:t>Но даже в этих условиях некоторые банки могут "расцвести". Речь в первую очередь идет об игроках, связанных с финтехкомпаниями. За последние два года их доля на рынке выросла с нуля до 0,4% по объему активов и продолжит увеличиваться даже в неблагоприятных условиях. Улучшить свои рыночные позиции в 2025 году также смогут банки из топ-10 по активам.</w:t>
      </w:r>
    </w:p>
    <w:p w14:paraId="2B39F9FF" w14:textId="77777777" w:rsidR="00593D6A" w:rsidRDefault="00593D6A" w:rsidP="00593D6A">
      <w:r>
        <w:t>Каким банкам повезет даже в неудачный год</w:t>
      </w:r>
    </w:p>
    <w:p w14:paraId="6A38718B" w14:textId="77777777" w:rsidR="00593D6A" w:rsidRDefault="00593D6A" w:rsidP="00593D6A">
      <w:r>
        <w:t>В России подавляющая доля банковского сектора сконцентрирована в руках десяти крупнейших организаций - по данным "Эксперт РА", сейчас на них приходится 79,8% активов сектора. И хотя им будет сложнее наращивать позиции из-за ужесточения требований ЦБ по достаточности капитала и других регуляторных новаций, к концу 2025 года эта доля все равно вырастет до 81,5%, ожидают аналитики. Тем не менее успехи скорее будут связаны с прошлыми наработками: среди факторов роста крупных банков аналитики выделяют завершение уже запланированных или новых сделок слияния и поглощения (M&amp;A). В 2024 году началось объединение сразу нескольких крупных игроков: Т-банк интегрировал Росбанк, ВТБ присоединяет "Открытие" и другие дочерние банки (крымский РНКБ, Почта Банк), Совкомбанк поглотил Хоум Банк.</w:t>
      </w:r>
    </w:p>
    <w:p w14:paraId="1268CD65" w14:textId="77777777" w:rsidR="00593D6A" w:rsidRDefault="00593D6A" w:rsidP="00593D6A">
      <w:r>
        <w:t>Но расти может не только сегмент крупнейших игроков. "Мы ожидаем дальнейшую консолидацию рынка на крупнейших игроках и финтехах.</w:t>
      </w:r>
    </w:p>
    <w:p w14:paraId="599C64BF" w14:textId="77777777" w:rsidR="00593D6A" w:rsidRDefault="00593D6A" w:rsidP="00593D6A">
      <w:r>
        <w:t xml:space="preserve">При этом доля последних в активах сектора может превзойти долю банков за пределами топ-100 по активам, однако скорее в перспективе нескольких лет, а не на </w:t>
      </w:r>
      <w:r>
        <w:lastRenderedPageBreak/>
        <w:t>горизонте в один-полтора года", - отмечает директор по банковским рейтингам "Эксперт РА" Ксения Якушкина.</w:t>
      </w:r>
    </w:p>
    <w:p w14:paraId="5FD1D10C" w14:textId="77777777" w:rsidR="00593D6A" w:rsidRDefault="00593D6A" w:rsidP="00593D6A">
      <w:r>
        <w:t>К группе финтехбанков, нарастивших влияние на российском рынке, "Эксперт РА" относит четырех игроков: Озон Банк, Яндекс Банк, Вайлдберриз Банк, а также банк для предпринимателей "Точка". Хотя у последнего нет технологичной материнской платформы, агентство считает, что этот банк ближе к финтеху, чем к классическому банкингу. По прогнозу "Эксперт РА", в 2025 году доля этих четырех игроков в активах сектора увеличится почти вдвое, до 0,7%.</w:t>
      </w:r>
    </w:p>
    <w:p w14:paraId="0F4D9526" w14:textId="77777777" w:rsidR="00593D6A" w:rsidRDefault="00593D6A" w:rsidP="00593D6A">
      <w:r>
        <w:t>"Хотя они пока относительно малы по масштабу, их интенсивный рост и высокий уровень технологического развития позволят им со временем потеснить крупнейшие банки в отдельных нишах", - говорится в обзоре. Аналитики считают, что у финтехигроков больше преимуществ в цифровом обслуживании клиентов, платежных решениях, а также в кредитовании физлиц, малого и среднего бизнеса. Важное преимущество у трех из четырех банков - наличие над ними крупных компаний(Ozon, Wildberries и "Яндекс"), которые смогут влить капитал в свои "дочки" при необходимости, говорит Якушкина.</w:t>
      </w:r>
    </w:p>
    <w:p w14:paraId="2E5F99D7" w14:textId="77777777" w:rsidR="00593D6A" w:rsidRDefault="00593D6A" w:rsidP="00593D6A">
      <w:r>
        <w:t>Помогут ли банки Ozon и "Яндекса" акциям материнских компаний</w:t>
      </w:r>
    </w:p>
    <w:p w14:paraId="249D8813" w14:textId="77777777" w:rsidR="00593D6A" w:rsidRDefault="00593D6A" w:rsidP="00593D6A">
      <w:r>
        <w:t>Eще в первой половине 2024 года кредитные организации, запущенные крупными российскими маркетплейсами и экосистемами, стали существенно опережать классические банки по темпам прироста вкладов, писал РБК. Объем средств физлиц на счетах и депозитах в Озон Банке и Яндекс Банке рос быстрее, чем у всех игроков из топ-50.</w:t>
      </w:r>
    </w:p>
    <w:p w14:paraId="4A7A18DE" w14:textId="77777777" w:rsidR="00593D6A" w:rsidRDefault="00593D6A" w:rsidP="00593D6A">
      <w:r>
        <w:t>На Мосбирже торгуются только акции Ozon и "Яндекса" (основатель Wildberries и ее гендиректор Татьяна Ким пока критически отзывалась о вероятности проведения IPO). В кредитовании Озон Банк и Яндекс Банк продемонстрировали двузначные темпы роста по итогам года, отмечает директор по работе с состоятельными клиентами "БКС Мир инвестиций" Иван Потехин.</w:t>
      </w:r>
    </w:p>
    <w:p w14:paraId="4918DFEE" w14:textId="77777777" w:rsidR="00593D6A" w:rsidRDefault="00593D6A" w:rsidP="00593D6A">
      <w:r>
        <w:t>"Озон Банк увеличил клиентскую базу до 8 млн пользователей (+40% с 2023 года), в это же время кредитный портфель вырос до 120 млрд руб. Прогноз на 2025 год - рост выручки на 35-50% за счет встроенных финансовых сервисов в экосистеме маркетплейса. Яндекс Банк берет фокус на малый бизнес и потребительское кредитование: объем выданных займов в 2024 году достиг 200 млрд руб. (+60% год к году). В 2025 году рост, скорее всего, замедлится до 25-30% из-за насыщения рынка, но технологическая инфраструктура "Яндекса" (AI-скоринг, интеграция с сервисами) останется конкурентным преимуществом компании", - говорит эксперт. Он подчеркивает, что финансовые сервисы уже стали ключевыми драйверами роста материнских компаний.</w:t>
      </w:r>
    </w:p>
    <w:p w14:paraId="5A537AC9" w14:textId="77777777" w:rsidR="00593D6A" w:rsidRDefault="00593D6A" w:rsidP="00593D6A">
      <w:r>
        <w:t>Сближение ретейла и финтеха - один из основных драйверов роста лидирующих IT-компаний, говорит аналитик "Финама" Леонид Делицын. Важна даже не сама доля финтехуслуг, а то, что материнские компании используют их, чтобы сохранять высокие темпы роста основного бизнеса, добавляет он. Но вряд ли эти сервисы начнут конкуренцию с классическими банками в ближайшем времени - пока что им выгоднее концентрироваться на поддержании темпов роста выручки основного бизнеса.</w:t>
      </w:r>
    </w:p>
    <w:p w14:paraId="4F9A5C3E" w14:textId="77777777" w:rsidR="00593D6A" w:rsidRDefault="00593D6A" w:rsidP="00593D6A">
      <w:r>
        <w:lastRenderedPageBreak/>
        <w:t>"В 2024 году доля финтеха в выручке Ozon - 15%, а вклад в EBITDA - 20%. К 2025 году прогнозируется рост выручки до 25% благодаря кросс- продажам (например, кредиты увеличивают средний чек на маркетплейсе на 30%). У "Яндекса" финтех обеспечивает 12% выручки, но из-за высоких инвестиций в экосистему (логистика, облака) прибыльность пока незначительная. Но к середине 2025 года ожидается удвоение доли финтеха в EBITDA за счет монетизации данных", - прогнозирует Потехин.</w:t>
      </w:r>
    </w:p>
    <w:p w14:paraId="6FD18D96" w14:textId="77777777" w:rsidR="00593D6A" w:rsidRDefault="00593D6A" w:rsidP="00593D6A">
      <w:r>
        <w:t>"В будущем финтех Ozon и "Яндекса" станет их главным "монетизатором", но для победы над классическими банками необходимо значительное время, чтобы отвоевать существенную долю рынка. Озон Банк - фаворит в рознице, Яндекс Банк - в интеграции b2b- сервисов. Оба сохранят рост выше рынка, но прибыльность останется умеренной из-за инвестиций в экосистемы, постоянного развития и масштабирования бизнеса", - резюмирует Потехин.</w:t>
      </w:r>
    </w:p>
    <w:p w14:paraId="5531B63E" w14:textId="77777777" w:rsidR="00593D6A" w:rsidRDefault="00593D6A" w:rsidP="00593D6A">
      <w:r>
        <w:t>Делицын, впрочем, не столь оптимистичен: "Главным фактором прибыльности в условиях острой конкуренции маркетплейсов финансовые услуги вряд ли станут. Прибыль будет извлекаться из масштаба операций и синергии сервисов внутри экосистемы".</w:t>
      </w:r>
    </w:p>
    <w:p w14:paraId="6F294103" w14:textId="77777777" w:rsidR="00593D6A" w:rsidRDefault="00593D6A" w:rsidP="00593D6A">
      <w:r>
        <w:t>На чем основан негативный прогноз аналитиков</w:t>
      </w:r>
    </w:p>
    <w:p w14:paraId="1CAFFDCA" w14:textId="77777777" w:rsidR="00593D6A" w:rsidRDefault="00593D6A" w:rsidP="00593D6A">
      <w:r>
        <w:t>Даже если ЦБ перейдет к смягчению денежно-кредитной политики, ключевая ставка на конец года составит 18%, считают в рейтинговом агентстве "Эксперт РА". Это станет основным фактором, ограничивающим рост кредитных портфелей банков. В 2025 году все сегменты кредитного бизнеса банков - от финансирования крупных клиентов до необеспеченной розницы - покажут более слабые результаты, чем годом ранее. В автокредитовании и беззалоговых ссудах ожидается сжатие портфелей банков.</w:t>
      </w:r>
    </w:p>
    <w:p w14:paraId="26A7DEDD" w14:textId="77777777" w:rsidR="00593D6A" w:rsidRDefault="00593D6A" w:rsidP="00593D6A">
      <w:r>
        <w:t>Среди факторов, которые потенциально замедлят рост банковского бизнеса, агентство также выделяет макропруденциальные меры ЦБ и увеличение рисков, а значит, и расходов на резервы. В этих условиях чистая прибыль сектора в 2025 году составит 3,1-3,3 трлн руб., оценивают в "Эксперт РА". Это почти совпадает с прогнозом Банка России, регулятор ранее давал возможный диапазон по прибыли в 3-3,5 трлн руб. По итогам первого квартала совокупный финансовый результат сектора составил 750 млрд руб., это на 17% ниже уровней прошлого года.</w:t>
      </w:r>
    </w:p>
    <w:p w14:paraId="111D8BC5" w14:textId="77777777" w:rsidR="00593D6A" w:rsidRDefault="00593D6A" w:rsidP="00593D6A">
      <w:r>
        <w:t>" В будущем финтех Ozon и "Яндекса" станет их главным "монетизатором", но для победы над классическими банками необходимо значительное время, чтобы отвоевать существенную долю рынка</w:t>
      </w:r>
    </w:p>
    <w:p w14:paraId="3587C2FC" w14:textId="77777777" w:rsidR="00593D6A" w:rsidRDefault="00593D6A" w:rsidP="00593D6A">
      <w:r>
        <w:t>Директор по работе с состоятельными клиентами "БКС Мир инвестиций" Иван Потехин</w:t>
      </w:r>
    </w:p>
    <w:p w14:paraId="344FFCCA" w14:textId="77777777" w:rsidR="00593D6A" w:rsidRDefault="00593D6A" w:rsidP="00593D6A">
      <w:r>
        <w:t>Главным фактором прибыльности в условиях острой конкуренции маркетплейсов финансовые услуги вряд ли станут. Прибыль будет извлекаться из масштаба операций и синергии сервисов внутри экосистемы</w:t>
      </w:r>
    </w:p>
    <w:p w14:paraId="7BA1908B" w14:textId="77777777" w:rsidR="00593D6A" w:rsidRDefault="00593D6A" w:rsidP="00593D6A">
      <w:r>
        <w:t>Аналитик "Финама" Леонид Делицын</w:t>
      </w:r>
    </w:p>
    <w:p w14:paraId="0033296C" w14:textId="77777777" w:rsidR="00593D6A" w:rsidRDefault="00593D6A" w:rsidP="00593D6A">
      <w:r>
        <w:t>Юлия Кошкина</w:t>
      </w:r>
    </w:p>
    <w:p w14:paraId="45C8D0B4" w14:textId="77777777" w:rsidR="007729D8" w:rsidRPr="001267A7" w:rsidRDefault="007729D8" w:rsidP="007729D8">
      <w:pPr>
        <w:pStyle w:val="2"/>
      </w:pPr>
      <w:bookmarkStart w:id="152" w:name="_Toc198618939"/>
      <w:r w:rsidRPr="001267A7">
        <w:lastRenderedPageBreak/>
        <w:t>Известия, 19.05.2025, Меры и поддержка: в Госдуме готовят новые льготы ветеранам СВО</w:t>
      </w:r>
      <w:bookmarkEnd w:id="152"/>
    </w:p>
    <w:p w14:paraId="43FB5345" w14:textId="77777777" w:rsidR="007729D8" w:rsidRPr="001267A7" w:rsidRDefault="007729D8" w:rsidP="00E10B1E">
      <w:pPr>
        <w:pStyle w:val="3"/>
      </w:pPr>
      <w:bookmarkStart w:id="153" w:name="_Toc198618940"/>
      <w:r w:rsidRPr="001267A7">
        <w:t>В Госдуме обсуждают новые льготы для участников спецоперации на Украине. Среди продвигаемых депутатами мер — повышение ежемесячных выплат ветеранам боевых действий до уровня прожиточного минимума, снижение пенсионного возраста для бойцов СВО, а также списание части ипотечного кредита для семей военных. Законодательные инициативы парламентарии обсудят на встрече с замминистра обороны Анной Цивилевой в конце мая, сообщила «Известиям» глава комитета по защите семьи, вопросам отцовства, материнства и детства ГД РФ Нина Останина. О том, что думают об этих предложениях в парламентских партиях и найдутся ли на них средства в бюджете, — в материале «Известий».</w:t>
      </w:r>
      <w:bookmarkEnd w:id="153"/>
    </w:p>
    <w:p w14:paraId="1BB66A0A" w14:textId="77777777" w:rsidR="007729D8" w:rsidRPr="001267A7" w:rsidRDefault="007729D8" w:rsidP="007729D8">
      <w:r w:rsidRPr="001267A7">
        <w:t>Новые меры поддержки ветеранов СВО</w:t>
      </w:r>
    </w:p>
    <w:p w14:paraId="400ED1A8" w14:textId="77777777" w:rsidR="007729D8" w:rsidRPr="001267A7" w:rsidRDefault="007729D8" w:rsidP="007729D8">
      <w:r w:rsidRPr="001267A7">
        <w:t>В России могут появиться новые льготы для участников СВО. Инициативы, которые планирует выдвинуть председатель комитета по защите семьи, вопросам отцовства, материнства и детства Госдумы РФ Нина Останина (КПРФ), будут обсуждаться на встрече с замминистра обороны Анной Цивилевой в конце мая, выяснили «Известия».</w:t>
      </w:r>
    </w:p>
    <w:p w14:paraId="138DF393" w14:textId="77777777" w:rsidR="007729D8" w:rsidRPr="001267A7" w:rsidRDefault="007729D8" w:rsidP="007729D8">
      <w:r w:rsidRPr="001267A7">
        <w:t>Свои предложения, касающиеся новых льгот участникам СВО, могут представить и депутаты из регионов. Их идеи парламентарий также планирует обсудить с заместителем министра. Одна из мер — увеличение ежемесячного пособия ветеранам боевых действий до размера прожиточного минимума. Сегодня им выплачивают 4,5 тыс. рублей в месяц, что, по мнению депутатов, не отражает вклад, который внесли военные в безопасность страны.</w:t>
      </w:r>
    </w:p>
    <w:p w14:paraId="47C60433" w14:textId="77777777" w:rsidR="007729D8" w:rsidRPr="001267A7" w:rsidRDefault="007729D8" w:rsidP="007729D8">
      <w:r w:rsidRPr="001267A7">
        <w:t>— Наше общество должно консолидированно высказать позицию о праве власти на ежемесячное выделение этим людям средств пожизненно, ну хотя бы в размере прожиточного минимума (на сегодня он составляет около 20 тыс. рублей. — «Известия»), — заявила Останина в разговоре с «Известиями». — У нас даже пенсионеры больше получают, но и этих денег тоже недостаточно.</w:t>
      </w:r>
    </w:p>
    <w:p w14:paraId="129C0267" w14:textId="77777777" w:rsidR="007729D8" w:rsidRPr="001267A7" w:rsidRDefault="007729D8" w:rsidP="007729D8">
      <w:r w:rsidRPr="001267A7">
        <w:t>Еще одна инициатива — снижение пенсионного возраста для участников спецоперации. Нина Останина предлагает уменьшить его для женщин до 55 лет, а для мужчин — до 60, то есть так, как это было до 2018 года. Также депутаты хотят ввести для участников СВО право бесплатного проезда не только к месту реабилитации, но и к месту отдыха. В комитете Госдумы по бюджету и налогам ранее сообщали, что сегодня они могут компенсировать дорогу к месту лечения и обратно, если заранее обратятся в Соцфонд или подадут заявку через портал госуслуг.</w:t>
      </w:r>
    </w:p>
    <w:p w14:paraId="0614F626" w14:textId="77777777" w:rsidR="007729D8" w:rsidRPr="001267A7" w:rsidRDefault="007729D8" w:rsidP="007729D8">
      <w:r w:rsidRPr="001267A7">
        <w:t>Помимо этого, депутаты продолжают работать над законопроектом об улучшении жилищных условий молодым, многодетным семьям и семьям участников СВО.</w:t>
      </w:r>
    </w:p>
    <w:p w14:paraId="6D33C347" w14:textId="77777777" w:rsidR="007729D8" w:rsidRPr="001267A7" w:rsidRDefault="007729D8" w:rsidP="007729D8">
      <w:r w:rsidRPr="001267A7">
        <w:t>— Речь идет о праве списания части ипотечного кредита [для указанных семей]. Мы провели даже видеоконференцию вместе с нашими белорусскими коллегами, поэтому увидели кое-что, что, с нашей точки зрения, может убедить правительство в том, что все-таки этот закон можно принять, — рассказала парламентарий.</w:t>
      </w:r>
    </w:p>
    <w:p w14:paraId="75D772D3" w14:textId="77777777" w:rsidR="007729D8" w:rsidRPr="001267A7" w:rsidRDefault="007729D8" w:rsidP="007729D8">
      <w:r w:rsidRPr="001267A7">
        <w:t>Справка «Известий»</w:t>
      </w:r>
    </w:p>
    <w:p w14:paraId="655D088E" w14:textId="77777777" w:rsidR="007729D8" w:rsidRPr="001267A7" w:rsidRDefault="007729D8" w:rsidP="007729D8">
      <w:r w:rsidRPr="001267A7">
        <w:lastRenderedPageBreak/>
        <w:t>К категории ветеранов боевых действий относятся участники Великой Отечественной войны, боевых действий в Афганистане 1979–1989 годов, в Сирии, ряде других горячих точек и бойцы СВО.</w:t>
      </w:r>
    </w:p>
    <w:p w14:paraId="3D1E0BD3" w14:textId="77777777" w:rsidR="007729D8" w:rsidRPr="001267A7" w:rsidRDefault="007729D8" w:rsidP="007729D8">
      <w:r w:rsidRPr="001267A7">
        <w:t>Есть ли в бюджете деньги на повышение выплат ветеранам</w:t>
      </w:r>
    </w:p>
    <w:p w14:paraId="44B86822" w14:textId="77777777" w:rsidR="007729D8" w:rsidRPr="001267A7" w:rsidRDefault="007729D8" w:rsidP="007729D8">
      <w:r w:rsidRPr="001267A7">
        <w:t>О несоразмерности ежемесячной выплаты ветеранам боевых действий их вкладу в обеспечение безопасности государства и о том, что она нуждается в повышении, 14 мая на Всероссийском координационном совете уполномоченных по правам человека в РФ, посвященном защите прав участников и ветеранов боевых действий, заявила уполномоченный по правам человека в РФ Татьяна Москалькова.</w:t>
      </w:r>
    </w:p>
    <w:p w14:paraId="717FA8F4" w14:textId="77777777" w:rsidR="007729D8" w:rsidRPr="001267A7" w:rsidRDefault="007729D8" w:rsidP="007729D8">
      <w:r w:rsidRPr="001267A7">
        <w:t>«Предлагаю обратиться от нашего сообщества по итогам Всероссийского координационного совета к государственным органам о рассмотрении вопроса об увеличении размера ежемесячной денежной выплаты», — сказала она.</w:t>
      </w:r>
    </w:p>
    <w:p w14:paraId="49819938" w14:textId="77777777" w:rsidR="007729D8" w:rsidRPr="001267A7" w:rsidRDefault="007729D8" w:rsidP="007729D8">
      <w:r w:rsidRPr="001267A7">
        <w:t>Омбудсмен считает, что целесообразно будет применить дифференцированный подход с учетом того, где, когда и сколько времени человек принимал участие в боевых действиях.</w:t>
      </w:r>
    </w:p>
    <w:p w14:paraId="0BDFC77F" w14:textId="77777777" w:rsidR="007729D8" w:rsidRPr="001267A7" w:rsidRDefault="007729D8" w:rsidP="007729D8">
      <w:r w:rsidRPr="001267A7">
        <w:t>Ранее фракция ЛДПР вносила в Госдуму предложение об увеличении ежемесячной выплаты ветеранам боевых действий, однако правительство его не поддержало, рассказал «Известиям» председатель комитета по труду, социальной политике и делам ветеранов Ярослав Нилов.</w:t>
      </w:r>
    </w:p>
    <w:p w14:paraId="22F517EC" w14:textId="77777777" w:rsidR="007729D8" w:rsidRPr="001267A7" w:rsidRDefault="007729D8" w:rsidP="007729D8">
      <w:r w:rsidRPr="001267A7">
        <w:t>— Надо понимать, какой будет источник финансирования этого решения. Если этот источник будет определен, деньги будут найдены, конечно, я только буду за [увеличение выплат], — отметил парламентарий.</w:t>
      </w:r>
    </w:p>
    <w:p w14:paraId="2FA388D6" w14:textId="77777777" w:rsidR="007729D8" w:rsidRPr="001267A7" w:rsidRDefault="007729D8" w:rsidP="007729D8">
      <w:r w:rsidRPr="001267A7">
        <w:t>При этом министр финансов Антон Силуанов, говоря о бюджете на 2024–2026 годы, назвал социальное обеспечение бойцов спецоперации важнейшим направлением бюджетных расходов. «Наш главный приоритет — укрепление обороноспособности страны и поддержка участников СВО», — подчеркнул министр. Чтобы прояснить позицию ведомства по этому вопросу, «Известия» обратились за комментариями в Минфин.</w:t>
      </w:r>
    </w:p>
    <w:p w14:paraId="2FC533E3" w14:textId="77777777" w:rsidR="007729D8" w:rsidRPr="001267A7" w:rsidRDefault="007729D8" w:rsidP="007729D8">
      <w:r w:rsidRPr="001267A7">
        <w:t>Депутаты ЛДПР также выходили с предложением предоставить участникам спецоперации право на бесплатный проезд к месту отдыха. Поддерживают они и введение льгот на оплату услуг ЖКХ. Сегодня у ветеранов есть скидка на оплату жилья, однако их стоит полностью освободить от оплаты коммунальных услуг, считает Ярослав Нилов. Партия также выдвигала инициативу о снижении пенсионного возраста для участников СВО, однако правительство ее также не поддержало в связи с отсутствием средств финансирования. «Работа продолжается», — подытожил он.</w:t>
      </w:r>
    </w:p>
    <w:p w14:paraId="3B646382" w14:textId="77777777" w:rsidR="007729D8" w:rsidRPr="001267A7" w:rsidRDefault="007729D8" w:rsidP="007729D8">
      <w:r w:rsidRPr="001267A7">
        <w:t>В «Единой России» о перспективах повышения выплат ветеранам пока высказываются осторожно.</w:t>
      </w:r>
    </w:p>
    <w:p w14:paraId="154A361D" w14:textId="77777777" w:rsidR="007729D8" w:rsidRPr="001267A7" w:rsidRDefault="007729D8" w:rsidP="007729D8">
      <w:r w:rsidRPr="001267A7">
        <w:t>— Любое финансовое материальное увеличение должно базироваться на расчетах, поскольку можно заявить о том, что мы увеличим, но при этом бюджет это не потянет, — заявила «Известиям» первый зампредседателя комитета по труду, социальной политике и делам ветеранов Елена Цунаева.</w:t>
      </w:r>
    </w:p>
    <w:p w14:paraId="5B0ABFBD" w14:textId="77777777" w:rsidR="007729D8" w:rsidRPr="001267A7" w:rsidRDefault="007729D8" w:rsidP="007729D8">
      <w:r w:rsidRPr="001267A7">
        <w:t>Она добавила, что хотя призывы к улучшению положения ветеранов периодически звучат в Госдуме, за всем должно стоять финансовое обоснование.</w:t>
      </w:r>
    </w:p>
    <w:p w14:paraId="466AA142" w14:textId="77777777" w:rsidR="007729D8" w:rsidRPr="001267A7" w:rsidRDefault="007729D8" w:rsidP="007729D8">
      <w:r w:rsidRPr="001267A7">
        <w:lastRenderedPageBreak/>
        <w:t>— Мы приняли бюджет. Бюджет, вы знаете, дефицитный. Тем не менее все социальные программы, которые заявляло государство, наша партия «Единая Россия», в бюджете профинансированы. Традиционно в середине года должны быть поправки в бюджет, поэтому прежде чем говорить об увеличении, нужно этот вопрос прорабатывать, — подчеркнула Цунаева.</w:t>
      </w:r>
    </w:p>
    <w:p w14:paraId="03B93487" w14:textId="77777777" w:rsidR="007729D8" w:rsidRPr="001267A7" w:rsidRDefault="007729D8" w:rsidP="007729D8">
      <w:r w:rsidRPr="001267A7">
        <w:t>Депутат отметила, что одна мера по увеличению выплат ветеранам не сможет полностью разрешить проблему поддержки участников СВО. Вместо этого государство предоставляет комплекс инструментов, которыми ветераны могут воспользоваться. Среди них — льготы при получении дополнительного образования, налогообложении, гарантированный возврат на то место работы, откуда человек уходил.</w:t>
      </w:r>
    </w:p>
    <w:p w14:paraId="7320C075" w14:textId="77777777" w:rsidR="007729D8" w:rsidRPr="001267A7" w:rsidRDefault="007729D8" w:rsidP="007729D8">
      <w:r w:rsidRPr="001267A7">
        <w:t>Директор центра конъюнктурных исследований ИСИЭЗ НИУ ВШЭ Георгий Остапкович подчеркивает, что задача властей состоит в том, чтобы найти золотую середину: и справедливо удовлетворить то, что заслужили военные, и не ударить по экономике.</w:t>
      </w:r>
    </w:p>
    <w:p w14:paraId="4A844928" w14:textId="77777777" w:rsidR="007729D8" w:rsidRPr="001267A7" w:rsidRDefault="007729D8" w:rsidP="007729D8">
      <w:r w:rsidRPr="001267A7">
        <w:t>— В условиях сегодняшнего бюджетного дефицита это сложная задача, — сказал он «Известиям». — Минфин в принципе может обеспечить всё, но тогда экономика не сможет построить большее количество домов, детских садов, школ, не сможет больше увеличить деньги на образование, не сможет больше потратить на фармацевтику и препараты для медицины.</w:t>
      </w:r>
    </w:p>
    <w:p w14:paraId="4FF758B9" w14:textId="77777777" w:rsidR="007729D8" w:rsidRPr="001267A7" w:rsidRDefault="007729D8" w:rsidP="007729D8">
      <w:r w:rsidRPr="001267A7">
        <w:t>С 2022 года власти ввели множество льгот для участников СВО. На «Госуслугах» в 2024-м даже появился новый раздел, в котором собраны меры поддержки для участников и ветеранов специальной военной операции и их семей. Среди них — единовременная денежная выплата, выплаты за ранения, ежемесячные компенсации при инвалидности, целый ряд бесплатных медицинских услуг, бесплатное санаторно-курортное лечение, отсрочки по уплате целого ряда налогов, а также кредитные каникулы и возможность списания части долгов.</w:t>
      </w:r>
    </w:p>
    <w:p w14:paraId="5F139F33" w14:textId="77777777" w:rsidR="007729D8" w:rsidRPr="001267A7" w:rsidRDefault="007729D8" w:rsidP="007729D8">
      <w:r w:rsidRPr="001267A7">
        <w:t>Владимир Путин, обсуждая на совещании в Петербурге проблемы с кредитными каникулами для бойцов в 2024 году, призывал не обращать внимание на финансовую прагматичность. «Ребята уходят на войну, рискуют жизнью, здоровьем. Некоторые не возвращаются с войны. Поэтому здесь, мне кажется, вот эта вроде бы правильная логика финансовых учреждений, она не должна работать. Здесь должна работать другая логика. Логика поддержки людей, которые рискуют своей жизнью в интересах Родины», — отмечал глава государства.</w:t>
      </w:r>
    </w:p>
    <w:p w14:paraId="0ECF5A3F" w14:textId="77777777" w:rsidR="007729D8" w:rsidRDefault="007729D8" w:rsidP="007729D8">
      <w:hyperlink r:id="rId41" w:history="1">
        <w:r w:rsidRPr="001267A7">
          <w:rPr>
            <w:rStyle w:val="a3"/>
          </w:rPr>
          <w:t>https://iz.ru/1887797/maksim-bazanov/v-gosdume-gotovyat-novye-lgoty-veteranam-svo</w:t>
        </w:r>
      </w:hyperlink>
      <w:r w:rsidRPr="001267A7">
        <w:t xml:space="preserve"> </w:t>
      </w:r>
    </w:p>
    <w:p w14:paraId="43C5D9E2" w14:textId="77777777" w:rsidR="00593D6A" w:rsidRDefault="00593D6A" w:rsidP="00593D6A">
      <w:pPr>
        <w:pStyle w:val="2"/>
      </w:pPr>
      <w:bookmarkStart w:id="154" w:name="_Hlk198618716"/>
      <w:bookmarkStart w:id="155" w:name="_Toc198618941"/>
      <w:r>
        <w:lastRenderedPageBreak/>
        <w:t>РИА Новости</w:t>
      </w:r>
      <w:r w:rsidRPr="00593D6A">
        <w:t xml:space="preserve">, </w:t>
      </w:r>
      <w:r>
        <w:t>20.05.2025</w:t>
      </w:r>
      <w:r w:rsidRPr="00593D6A">
        <w:t xml:space="preserve">, </w:t>
      </w:r>
      <w:r>
        <w:t>"Эксперт РА" ожидает роста портфеля корпоративных кредитов в РФ к концу года в пределах 5%</w:t>
      </w:r>
      <w:bookmarkEnd w:id="155"/>
    </w:p>
    <w:p w14:paraId="18449962" w14:textId="77777777" w:rsidR="00593D6A" w:rsidRDefault="00593D6A" w:rsidP="00593D6A">
      <w:pPr>
        <w:pStyle w:val="3"/>
      </w:pPr>
      <w:bookmarkStart w:id="156" w:name="_Toc198618942"/>
      <w:r>
        <w:t>Рейтинговое агентство "Эксперт РА" к концу текущего года ожидает увеличение портфеля крупных корпоративных кредитов в пределах 5%, говорится в обзоре "Банковский сектор по итогам первого I квартала 2025 года: холодная весна 25-го".</w:t>
      </w:r>
      <w:bookmarkEnd w:id="156"/>
    </w:p>
    <w:p w14:paraId="1ABCF5C2" w14:textId="77777777" w:rsidR="00593D6A" w:rsidRDefault="00593D6A" w:rsidP="00593D6A">
      <w:r>
        <w:t>"Мы ожидаем, что портфель крупных корпоративных кредитов, который по итогам первого квартала 2025 года сократился на 4%, к концу текущего года сможет показать увеличение в пределах 5% за счет реализации государственных инфраструктурных проектов и гособоронзаказа", - отмечается в обзоре .</w:t>
      </w:r>
    </w:p>
    <w:p w14:paraId="5E2CCCF2" w14:textId="77777777" w:rsidR="00593D6A" w:rsidRDefault="00593D6A" w:rsidP="00593D6A">
      <w:r>
        <w:t>По данным аналитиков, в малом и среднем бизнесе прогнозируется более оптимистичная ситуация: в течение первых трех месяцев портфель увеличился на 4%, а к концу года темп прироста сможет составить 11%, в том числе благодаря действующим программам господдержки, несмотря на снижение их объема и ухудшение условий по сравнению с прошлым годом.</w:t>
      </w:r>
    </w:p>
    <w:p w14:paraId="77BF45F7" w14:textId="77777777" w:rsidR="00593D6A" w:rsidRDefault="00593D6A" w:rsidP="00593D6A">
      <w:r>
        <w:t>"По итогам года задолженность по необеспеченному потребительскому кредитованию (НПК) может сократиться на 10%, при этом для снижения нагрузки на капитал банки будут активно использовать механизмы секьюритизации, выдавать залоговые кредиты, развивать программы рассрочки, а также больше кредитовать физлиц через дочерние микрофинансовые организации (МФО)", - добавляется в обзоре.</w:t>
      </w:r>
    </w:p>
    <w:p w14:paraId="7FEBFDB4" w14:textId="77777777" w:rsidR="00593D6A" w:rsidRDefault="00593D6A" w:rsidP="00593D6A">
      <w:r>
        <w:t>Также по прогнозу аналитиков "Эксперта РА" к концу года объем задолженности населения по ипотечным кредитам может продемонстрировать рост в пределах 3% по мере распространения льготных программ на вторичное жилье, а также точечного ослабления макропруденциального регулирования.</w:t>
      </w:r>
    </w:p>
    <w:p w14:paraId="1B70CEAA" w14:textId="77777777" w:rsidR="00C56ED6" w:rsidRDefault="00C56ED6" w:rsidP="00C56ED6">
      <w:pPr>
        <w:pStyle w:val="2"/>
      </w:pPr>
      <w:bookmarkStart w:id="157" w:name="_Toc198618943"/>
      <w:bookmarkEnd w:id="154"/>
      <w:r>
        <w:t>РИА Новости, 19.05.2025, Мишустин поручил в 2025 году запустить механизм, стимулирующий МСП к размещению акций</w:t>
      </w:r>
      <w:bookmarkEnd w:id="157"/>
    </w:p>
    <w:p w14:paraId="51B5155E" w14:textId="77777777" w:rsidR="00C56ED6" w:rsidRDefault="00C56ED6" w:rsidP="00E10B1E">
      <w:pPr>
        <w:pStyle w:val="3"/>
      </w:pPr>
      <w:bookmarkStart w:id="158" w:name="_Toc198618944"/>
      <w:r>
        <w:t>Премьер-министр РФ Михаил Мишустин поручил главе Минфина РФ Антону Силуанову и главе Минэкономразвития РФ Максиму Решетникову в 2025 году обеспечить запуск механизма по стимулированию малого и среднего бизнеса к размещению акций на фондовой бирже.</w:t>
      </w:r>
      <w:bookmarkEnd w:id="158"/>
    </w:p>
    <w:p w14:paraId="2B01872C" w14:textId="77777777" w:rsidR="00C56ED6" w:rsidRDefault="00C56ED6" w:rsidP="00C56ED6">
      <w:r>
        <w:t>Мишустин на заседании правительственной комиссии по вопросам развития малого и среднего предпринимательства прокомментировал вопрос стимулирования МСП к размещению акций на фондовой бирже и инвестиционных платформах. В частности, глава правительства заметил, что расширение числа источников заемного финансирования может стать хорошим драйвером для развития бизнеса.</w:t>
      </w:r>
    </w:p>
    <w:p w14:paraId="74AB7C85" w14:textId="77777777" w:rsidR="00C56ED6" w:rsidRDefault="00C56ED6" w:rsidP="00C56ED6">
      <w:r>
        <w:t xml:space="preserve">"Здесь я попрошу Максима Геннадьевича с Антоном Германовичем обеспечить запуск такого механизма уже в текущем году", - подчеркнул Мишустин. </w:t>
      </w:r>
    </w:p>
    <w:p w14:paraId="71D4FCD7" w14:textId="77777777" w:rsidR="00C56ED6" w:rsidRDefault="00C56ED6" w:rsidP="00C56ED6">
      <w:pPr>
        <w:pStyle w:val="2"/>
      </w:pPr>
      <w:bookmarkStart w:id="159" w:name="_Toc198618945"/>
      <w:r>
        <w:lastRenderedPageBreak/>
        <w:t>ТАСС, 19.05.2025, Для привлечения инвестиций в РФ будет построено 100 бизнес- и технопарков - Новак</w:t>
      </w:r>
      <w:bookmarkEnd w:id="159"/>
    </w:p>
    <w:p w14:paraId="12F4AE22" w14:textId="77777777" w:rsidR="00C56ED6" w:rsidRDefault="00C56ED6" w:rsidP="00E10B1E">
      <w:pPr>
        <w:pStyle w:val="3"/>
      </w:pPr>
      <w:bookmarkStart w:id="160" w:name="_Toc198618946"/>
      <w:r>
        <w:t>Для создания условий привлечения инвестиций в РФ  будет построено 100 бизнес- и технопарков для 2 тыс. резидентов, сообщил  вице-премьер РФ Александр Новак в ходе совещания по поддержке малого и среднего  предпринимательства под председательством премьер-министра Михаила Мишустина.</w:t>
      </w:r>
      <w:bookmarkEnd w:id="160"/>
    </w:p>
    <w:p w14:paraId="4FC902BA" w14:textId="77777777" w:rsidR="00C56ED6" w:rsidRDefault="00C56ED6" w:rsidP="00C56ED6">
      <w:r>
        <w:t>"Сейчас сложно конкурировать компаниям малого и среднего бизнеса с крупными  компаниями. Для создания условий привлечения инвестиций построим еще 100  бизнес-парков к 2030 году, технопарков и промышленных парков. На это выделено 30  млрд рублей. Также будут привлекаться средства бизнеса. В этих парках будет  размещено не менее 2 тыс. резидентов", - сказал Новак.</w:t>
      </w:r>
    </w:p>
    <w:p w14:paraId="6D7A7222" w14:textId="77777777" w:rsidR="00C56ED6" w:rsidRDefault="00C56ED6" w:rsidP="00C56ED6">
      <w:r>
        <w:t>При этом объем внебюджетных инвестиций составит более 22 млрд рублей,  добавил он.</w:t>
      </w:r>
    </w:p>
    <w:p w14:paraId="0D797705" w14:textId="77777777" w:rsidR="00C56ED6" w:rsidRDefault="00C56ED6" w:rsidP="00C56ED6">
      <w:r>
        <w:t>По словам министра финансов РФ Антона Силуанова, справедливо, когда  финансово обеспеченные регионы вкладывают больше средств, а средства из  госбюджета направляются в регионы с более низкой бюджетной обеспеченностью.</w:t>
      </w:r>
    </w:p>
    <w:p w14:paraId="07D7A741" w14:textId="77777777" w:rsidR="00C56ED6" w:rsidRDefault="00C56ED6" w:rsidP="00C56ED6">
      <w:r>
        <w:t xml:space="preserve">"На наш взгляд, мы сможем реализовать совместно с субъектами федерации эту  задачу по созданию новых 100 парков", - отметил Силуанов. </w:t>
      </w:r>
    </w:p>
    <w:p w14:paraId="77381112" w14:textId="77777777" w:rsidR="00C56ED6" w:rsidRDefault="00C56ED6" w:rsidP="00C56ED6">
      <w:pPr>
        <w:pStyle w:val="2"/>
      </w:pPr>
      <w:bookmarkStart w:id="161" w:name="_Toc198618947"/>
      <w:r>
        <w:t>ТАСС, 19.05.2025, Динамика экономического роста в РФ "охлаждается" - Силуанов</w:t>
      </w:r>
      <w:bookmarkEnd w:id="161"/>
    </w:p>
    <w:p w14:paraId="3CF3E30A" w14:textId="77777777" w:rsidR="00C56ED6" w:rsidRDefault="00C56ED6" w:rsidP="00E10B1E">
      <w:pPr>
        <w:pStyle w:val="3"/>
      </w:pPr>
      <w:bookmarkStart w:id="162" w:name="_Toc198618948"/>
      <w:r>
        <w:t>Темпы корпоративного и потребительского кредитования  в России снижаются и динамика экономического роста тоже "охлаждается". Об этом  журналистам заявил глава Минфина РФ Антон Силуанов.</w:t>
      </w:r>
      <w:bookmarkEnd w:id="162"/>
    </w:p>
    <w:p w14:paraId="7359C814" w14:textId="77777777" w:rsidR="00C56ED6" w:rsidRDefault="00C56ED6" w:rsidP="00C56ED6">
      <w:r>
        <w:t>"Темпы, особенно корпоративного кредитования, снижаются, потребительского  кредитования снижаются, Поэтому мы видим, что и динамика экономического роста  тоже охлаждается", - заявил Силуанов, отвечая на вопрос по поводу "охлаждения"  экономики РФ.</w:t>
      </w:r>
    </w:p>
    <w:p w14:paraId="565D921D" w14:textId="77777777" w:rsidR="00C56ED6" w:rsidRDefault="00C56ED6" w:rsidP="00C56ED6">
      <w:r>
        <w:t xml:space="preserve">Поэтому, по словам министра, у Банка России есть большое поле для принятия  решений по денежно-кредитной политике. "Очередное заседание будет в следующем  месяце. Посмотрим, какие решения примет наш регулятор", - отметил он. </w:t>
      </w:r>
    </w:p>
    <w:p w14:paraId="5EBB3D46" w14:textId="77777777" w:rsidR="00C56ED6" w:rsidRPr="00E10B1E" w:rsidRDefault="00C56ED6" w:rsidP="00C56ED6">
      <w:pPr>
        <w:pStyle w:val="2"/>
      </w:pPr>
      <w:bookmarkStart w:id="163" w:name="_Hlk198618788"/>
      <w:bookmarkStart w:id="164" w:name="_Toc198618949"/>
      <w:r>
        <w:t>РИА Новости, 19.05.2025, ЦБ РФ имеет большое поле возможностей для решений по денежно-кредитной политике - Силуанов</w:t>
      </w:r>
      <w:bookmarkEnd w:id="164"/>
    </w:p>
    <w:p w14:paraId="502A7EFF" w14:textId="77777777" w:rsidR="00C56ED6" w:rsidRDefault="00C56ED6" w:rsidP="00E10B1E">
      <w:pPr>
        <w:pStyle w:val="3"/>
      </w:pPr>
      <w:bookmarkStart w:id="165" w:name="_Toc198618950"/>
      <w:r>
        <w:t>Банк России имеет большое поле возможностей для принятия решений по денежно-кредитной политике, сообщил журналистам министр финансов РФ Антон Силуанов.</w:t>
      </w:r>
      <w:bookmarkEnd w:id="165"/>
    </w:p>
    <w:p w14:paraId="0956CAF1" w14:textId="77777777" w:rsidR="00C56ED6" w:rsidRDefault="00C56ED6" w:rsidP="00C56ED6">
      <w:r>
        <w:t xml:space="preserve">"Темпы кредитования, особенно корпоративного, снижаются, потребительское кредитование снижается. Поэтому видим, что и динамика экономического роста тоже </w:t>
      </w:r>
      <w:r>
        <w:lastRenderedPageBreak/>
        <w:t>охлаждается. Мне кажется, что у Центрального банка здесь есть большое поле возможностей для принятия решений по денежно-кредитной политике. Очередное заседание будет в следующем месяце. Посмотрим, какие решения примет наш регулятор", - сказал Силуанов.</w:t>
      </w:r>
    </w:p>
    <w:p w14:paraId="61B42BE8" w14:textId="77777777" w:rsidR="00C56ED6" w:rsidRDefault="00C56ED6" w:rsidP="00C56ED6">
      <w:r>
        <w:t>Росстат в пятницу сообщил, что ВВП России в первом квартале 2025 года, по предварительной оценке, вырос на 1,4% в годовом выражении после роста на 4,5% в четвертом квартале 2024 года.</w:t>
      </w:r>
    </w:p>
    <w:p w14:paraId="58055180" w14:textId="77777777" w:rsidR="00C56ED6" w:rsidRPr="001267A7" w:rsidRDefault="00C56ED6" w:rsidP="00C56ED6">
      <w:r>
        <w:t>Следующее заседание совета директоров Банка России по ключевой ставке состоится 6 июня. Регулятор в апреле сохранил ключевую ставку на рекордном уровне в 21% годовых, уже четвертый раз подряд, дав нейтральный сигнал по своим дальнейшим шагам: решения будут приниматься в зависимости от скорости и устойчивости снижения инфляции и инфляционных ожиданий.</w:t>
      </w:r>
    </w:p>
    <w:p w14:paraId="5F147CC1" w14:textId="77777777" w:rsidR="00CB1906" w:rsidRPr="001267A7" w:rsidRDefault="00CB1906" w:rsidP="00CB1906">
      <w:pPr>
        <w:pStyle w:val="2"/>
      </w:pPr>
      <w:bookmarkStart w:id="166" w:name="_Toc198618951"/>
      <w:bookmarkEnd w:id="163"/>
      <w:r w:rsidRPr="001267A7">
        <w:t>ТАСС, 19.05.2025, Вернуть свое: как получить налоговый вычет</w:t>
      </w:r>
      <w:bookmarkEnd w:id="166"/>
    </w:p>
    <w:p w14:paraId="3002EF7A" w14:textId="77777777" w:rsidR="00CB1906" w:rsidRPr="001267A7" w:rsidRDefault="00CB1906" w:rsidP="00E10B1E">
      <w:pPr>
        <w:pStyle w:val="3"/>
      </w:pPr>
      <w:bookmarkStart w:id="167" w:name="_Toc198618952"/>
      <w:r w:rsidRPr="001267A7">
        <w:t>Ежемесячно россияне уплачивают налог на доходы физических лиц (НДФЛ). Многие не знают, что часть этих средств можно вернуть в виде налогового вычета — существует несколько его видов, и разобраться в них непросто. Кто может получить такие платежи и как не запутаться в многообразии правил и условий — в материале ТАСС.</w:t>
      </w:r>
      <w:bookmarkEnd w:id="167"/>
    </w:p>
    <w:p w14:paraId="7BA9DC5B" w14:textId="77777777" w:rsidR="00CB1906" w:rsidRPr="001267A7" w:rsidRDefault="00CB1906" w:rsidP="00CB1906">
      <w:r w:rsidRPr="001267A7">
        <w:t>Что такое НДФЛ и налоговый вычет</w:t>
      </w:r>
    </w:p>
    <w:p w14:paraId="3E778260" w14:textId="77777777" w:rsidR="00CB1906" w:rsidRPr="001267A7" w:rsidRDefault="00CB1906" w:rsidP="00CB1906">
      <w:r w:rsidRPr="001267A7">
        <w:t>НДФЛ — это часть от денежных поступлений, которая уходит в государственный бюджет. Его платят люди, которые получают зарплату, доход с выручки, продажи имущества, сдачи в аренду и других поступлений.</w:t>
      </w:r>
    </w:p>
    <w:p w14:paraId="09D16556" w14:textId="77777777" w:rsidR="00CB1906" w:rsidRPr="001267A7" w:rsidRDefault="00CB1906" w:rsidP="00CB1906">
      <w:r w:rsidRPr="001267A7">
        <w:t xml:space="preserve">Размер налога зависит от суммы денежных поступлений: </w:t>
      </w:r>
    </w:p>
    <w:p w14:paraId="41293A28" w14:textId="77777777" w:rsidR="00CB1906" w:rsidRPr="001267A7" w:rsidRDefault="00CB1906" w:rsidP="00CB1906">
      <w:r w:rsidRPr="001267A7">
        <w:t xml:space="preserve">    если доход не превышает 2,4 млн рублей в год, НДФЛ приравнивается к 13%;</w:t>
      </w:r>
    </w:p>
    <w:p w14:paraId="65A8E6EC" w14:textId="77777777" w:rsidR="00CB1906" w:rsidRPr="001267A7" w:rsidRDefault="00CB1906" w:rsidP="00CB1906">
      <w:r w:rsidRPr="001267A7">
        <w:t xml:space="preserve">    если годовой доход составляет 2,4–5 млн рублей — к 15%;</w:t>
      </w:r>
    </w:p>
    <w:p w14:paraId="1BAFD623" w14:textId="77777777" w:rsidR="00CB1906" w:rsidRPr="001267A7" w:rsidRDefault="00CB1906" w:rsidP="00CB1906">
      <w:r w:rsidRPr="001267A7">
        <w:t xml:space="preserve">    если доход — 5–20 млн рублей в год, то налог будет равен 18%;</w:t>
      </w:r>
    </w:p>
    <w:p w14:paraId="43B6AD7E" w14:textId="77777777" w:rsidR="00CB1906" w:rsidRPr="001267A7" w:rsidRDefault="00CB1906" w:rsidP="00CB1906">
      <w:r w:rsidRPr="001267A7">
        <w:t xml:space="preserve">    при годовом доходе в 20–50 млн рублей НДФЛ — 20%;</w:t>
      </w:r>
    </w:p>
    <w:p w14:paraId="522A9E21" w14:textId="77777777" w:rsidR="00CB1906" w:rsidRPr="001267A7" w:rsidRDefault="00CB1906" w:rsidP="00CB1906">
      <w:r w:rsidRPr="001267A7">
        <w:t xml:space="preserve">    если же доход в год выше 50 млн рублей, то налог составит 22%.</w:t>
      </w:r>
    </w:p>
    <w:p w14:paraId="48012C48" w14:textId="77777777" w:rsidR="00CB1906" w:rsidRPr="001267A7" w:rsidRDefault="00CB1906" w:rsidP="00CB1906">
      <w:r w:rsidRPr="001267A7">
        <w:t>Обычно налог платит работодатель, а сотрудник получает зарплату уже без учета НДФЛ.</w:t>
      </w:r>
    </w:p>
    <w:p w14:paraId="700CAD41" w14:textId="77777777" w:rsidR="00CB1906" w:rsidRPr="001267A7" w:rsidRDefault="00CB1906" w:rsidP="00CB1906">
      <w:r w:rsidRPr="001267A7">
        <w:t>Часть денег можно вернуть — благодаря налоговому вычету, позволяющему уменьшить сумму, которую нужно заплатить в формате НДФЛ. Налоговый вычет могут получить налоговые резиденты РФ. Это люди, которые в течение 12 месяцев подряд находились на территории России не менее 183 дней (шести месяцев).</w:t>
      </w:r>
    </w:p>
    <w:p w14:paraId="315F946B" w14:textId="77777777" w:rsidR="00CB1906" w:rsidRPr="001267A7" w:rsidRDefault="00CB1906" w:rsidP="00CB1906">
      <w:r w:rsidRPr="001267A7">
        <w:t>Какие бывают налоговые вычеты:</w:t>
      </w:r>
    </w:p>
    <w:p w14:paraId="3ACDA5D0" w14:textId="77777777" w:rsidR="00CB1906" w:rsidRPr="001267A7" w:rsidRDefault="00CB1906" w:rsidP="00CB1906">
      <w:r w:rsidRPr="001267A7">
        <w:t xml:space="preserve">    стандартный;</w:t>
      </w:r>
    </w:p>
    <w:p w14:paraId="7E5EE756" w14:textId="77777777" w:rsidR="00CB1906" w:rsidRPr="001267A7" w:rsidRDefault="00CB1906" w:rsidP="00CB1906">
      <w:r w:rsidRPr="001267A7">
        <w:t xml:space="preserve">    социальный;</w:t>
      </w:r>
    </w:p>
    <w:p w14:paraId="19DDD916" w14:textId="77777777" w:rsidR="00CB1906" w:rsidRPr="001267A7" w:rsidRDefault="00CB1906" w:rsidP="00CB1906">
      <w:r w:rsidRPr="001267A7">
        <w:lastRenderedPageBreak/>
        <w:t xml:space="preserve">    инвестиционный; </w:t>
      </w:r>
    </w:p>
    <w:p w14:paraId="6EDDEACB" w14:textId="77777777" w:rsidR="00CB1906" w:rsidRPr="001267A7" w:rsidRDefault="00CB1906" w:rsidP="00CB1906">
      <w:r w:rsidRPr="001267A7">
        <w:t xml:space="preserve">    на долгосрочную перспективу;</w:t>
      </w:r>
    </w:p>
    <w:p w14:paraId="52856ABA" w14:textId="77777777" w:rsidR="00CB1906" w:rsidRPr="001267A7" w:rsidRDefault="00CB1906" w:rsidP="00CB1906">
      <w:r w:rsidRPr="001267A7">
        <w:t xml:space="preserve">    имущественный;</w:t>
      </w:r>
    </w:p>
    <w:p w14:paraId="635C3A82" w14:textId="77777777" w:rsidR="00CB1906" w:rsidRPr="001267A7" w:rsidRDefault="00CB1906" w:rsidP="00CB1906">
      <w:r w:rsidRPr="001267A7">
        <w:t xml:space="preserve">    профессиональный.</w:t>
      </w:r>
    </w:p>
    <w:p w14:paraId="643D7E5E" w14:textId="77777777" w:rsidR="00CB1906" w:rsidRPr="001267A7" w:rsidRDefault="00CB1906" w:rsidP="00CB1906">
      <w:r w:rsidRPr="001267A7">
        <w:t>Они рассчитаны на разные категории граждан и предоставляются за определенные категории расходов или обстоятельства. Также у них есть свои ограничения.</w:t>
      </w:r>
    </w:p>
    <w:p w14:paraId="2625C0A1" w14:textId="77777777" w:rsidR="00CB1906" w:rsidRPr="001267A7" w:rsidRDefault="00CB1906" w:rsidP="00CB1906">
      <w:r w:rsidRPr="001267A7">
        <w:t xml:space="preserve">Кому положен стандартный налоговый вычет </w:t>
      </w:r>
    </w:p>
    <w:p w14:paraId="115BAA39" w14:textId="77777777" w:rsidR="00CB1906" w:rsidRPr="001267A7" w:rsidRDefault="00CB1906" w:rsidP="00CB1906">
      <w:r w:rsidRPr="001267A7">
        <w:t>В отличие от всех остальных видов налогового вычета, стандартный не привязан к понесенным расходам и предоставляется определенным категориям граждан в виде фиксированной суммы. Так, на стандартный налоговый вычет могут претендовать:</w:t>
      </w:r>
    </w:p>
    <w:p w14:paraId="049DF5FF" w14:textId="77777777" w:rsidR="00CB1906" w:rsidRPr="001267A7" w:rsidRDefault="00CB1906" w:rsidP="00CB1906">
      <w:r w:rsidRPr="001267A7">
        <w:t xml:space="preserve">    родители: предоставляется отцам, матерям, опекунам, усыновителям или попечителям на каждого ребенка до 18 лет или до 24 лет, если он получает очное высшее образование любой ступени или проходит интернатуру. Размер вычета зависит от очередности ребенка: на первого — 1,4 тыс. рублей, на второго — 2,8 тыс. рублей, на третьего и каждого последующего — 6 тыс. рублей. Он начисляется ровно до того месяца, пока доход родителя, опекуна или усыновителя не превысит 450 тыс. рублей;</w:t>
      </w:r>
    </w:p>
    <w:p w14:paraId="3AF2EE56" w14:textId="77777777" w:rsidR="00CB1906" w:rsidRPr="001267A7" w:rsidRDefault="00CB1906" w:rsidP="00CB1906">
      <w:r w:rsidRPr="001267A7">
        <w:t xml:space="preserve">    граждане, пострадавшие от радиации или принимавшие участие в ликвидации последствий техногенной катастрофы или атомных испытаний: к этой категории относятся лица, получившие лучевую болезнь вследствие аварии на Чернобыльской АЭС, а также участники ликвидации ее последствий;</w:t>
      </w:r>
    </w:p>
    <w:p w14:paraId="14AE23A6" w14:textId="77777777" w:rsidR="00CB1906" w:rsidRPr="001267A7" w:rsidRDefault="00CB1906" w:rsidP="00CB1906">
      <w:r w:rsidRPr="001267A7">
        <w:t xml:space="preserve">    инвалиды I и II группы: право на вычет предоставляется вне зависимости от других оснований для получения стандартного вычета;</w:t>
      </w:r>
    </w:p>
    <w:p w14:paraId="779A58F0" w14:textId="77777777" w:rsidR="00CB1906" w:rsidRPr="001267A7" w:rsidRDefault="00CB1906" w:rsidP="00CB1906">
      <w:r w:rsidRPr="001267A7">
        <w:t xml:space="preserve">    участники боевых действий: к примеру, ветераны Великой Отечественной или Афганской войны;</w:t>
      </w:r>
    </w:p>
    <w:p w14:paraId="7752F3E2" w14:textId="77777777" w:rsidR="00CB1906" w:rsidRPr="001267A7" w:rsidRDefault="00CB1906" w:rsidP="00CB1906">
      <w:r w:rsidRPr="001267A7">
        <w:t xml:space="preserve">    Герои Советского Союза и Герои Российской Федерации, а также лица, награжденные орденом Славы трех степеней;</w:t>
      </w:r>
    </w:p>
    <w:p w14:paraId="44631951" w14:textId="77777777" w:rsidR="00CB1906" w:rsidRPr="001267A7" w:rsidRDefault="00CB1906" w:rsidP="00CB1906">
      <w:r w:rsidRPr="001267A7">
        <w:t xml:space="preserve">    обладатели действующего знака ГТО, которые прошли диспансеризацию в год его получения или подтверждения;</w:t>
      </w:r>
    </w:p>
    <w:p w14:paraId="28CF07C7" w14:textId="77777777" w:rsidR="00CB1906" w:rsidRPr="001267A7" w:rsidRDefault="00CB1906" w:rsidP="00CB1906">
      <w:r w:rsidRPr="001267A7">
        <w:t xml:space="preserve">    другие категории граждан в соответствии со статьей 218 Налогового кодекса РФ.</w:t>
      </w:r>
    </w:p>
    <w:p w14:paraId="296A1E7B" w14:textId="77777777" w:rsidR="00CB1906" w:rsidRPr="001267A7" w:rsidRDefault="00CB1906" w:rsidP="00CB1906">
      <w:r w:rsidRPr="001267A7">
        <w:t>Стандартные налоговые вычеты суммируются. Льгота на детей предоставляется независимо от других.</w:t>
      </w:r>
    </w:p>
    <w:p w14:paraId="67202F92" w14:textId="77777777" w:rsidR="00CB1906" w:rsidRPr="001267A7" w:rsidRDefault="00CB1906" w:rsidP="00CB1906">
      <w:r w:rsidRPr="001267A7">
        <w:t xml:space="preserve">Что такое социальный налоговый вычет </w:t>
      </w:r>
    </w:p>
    <w:p w14:paraId="58CDDA8A" w14:textId="77777777" w:rsidR="00CB1906" w:rsidRPr="001267A7" w:rsidRDefault="00CB1906" w:rsidP="00CB1906">
      <w:r w:rsidRPr="001267A7">
        <w:t>Социальный налоговый вычет — это возврат части денег, потраченных на социально значимые цели, такие как учеба, лечение, пенсия или даже фитнес. Максимальная сумма, которую можно вернуть по этому вычету, — 150 тыс. рублей. Исключением тут будут расходы на обучение детей и дорогостоящее лечение.</w:t>
      </w:r>
    </w:p>
    <w:p w14:paraId="6C45CC8D" w14:textId="77777777" w:rsidR="00CB1906" w:rsidRPr="001267A7" w:rsidRDefault="00CB1906" w:rsidP="00CB1906">
      <w:r w:rsidRPr="001267A7">
        <w:t>Его можно получить за траты на:</w:t>
      </w:r>
    </w:p>
    <w:p w14:paraId="4CC5370E" w14:textId="77777777" w:rsidR="00CB1906" w:rsidRPr="001267A7" w:rsidRDefault="00CB1906" w:rsidP="00CB1906">
      <w:r w:rsidRPr="001267A7">
        <w:t xml:space="preserve">    обучение: если вы учитесь сами на любой форме обучения или оплачиваете очное образование своих детей, братьев, сестер до 24 лет;</w:t>
      </w:r>
    </w:p>
    <w:p w14:paraId="44DDFB69" w14:textId="77777777" w:rsidR="00CB1906" w:rsidRPr="001267A7" w:rsidRDefault="00CB1906" w:rsidP="00CB1906">
      <w:r w:rsidRPr="001267A7">
        <w:lastRenderedPageBreak/>
        <w:t xml:space="preserve">    лечение: если вы, ваш супруг, родители или дети до 18 лет нуждаются в лечении (перечень медицинских услуг можно посмотреть в постановлении правительства РФ от 2020 года), а также при покупке лекарств по назначению врача и оформлении ДМС;</w:t>
      </w:r>
    </w:p>
    <w:p w14:paraId="1302D77E" w14:textId="77777777" w:rsidR="00CB1906" w:rsidRPr="001267A7" w:rsidRDefault="00CB1906" w:rsidP="00CB1906">
      <w:r w:rsidRPr="001267A7">
        <w:t xml:space="preserve">    благотворительность: если вы делаете пожертвования некоммерческим и религиозным организациям, сумма которых не должна превышать 25% от годового дохода;</w:t>
      </w:r>
    </w:p>
    <w:p w14:paraId="6F11C946" w14:textId="77777777" w:rsidR="00CB1906" w:rsidRPr="001267A7" w:rsidRDefault="00CB1906" w:rsidP="00CB1906">
      <w:r w:rsidRPr="001267A7">
        <w:t xml:space="preserve">    добровольное страхование жизни и негосударственное пенсионное обеспечение: если вы платите дополнительные взносы на пенсию, оформляете договор добровольного страхования жизни (минимум на пять лет) или делаете взносы в негосударственные пенсионные фонды (НПФ);</w:t>
      </w:r>
    </w:p>
    <w:p w14:paraId="18636DBB" w14:textId="77777777" w:rsidR="00CB1906" w:rsidRPr="001267A7" w:rsidRDefault="00CB1906" w:rsidP="00CB1906">
      <w:r w:rsidRPr="001267A7">
        <w:t xml:space="preserve">    фитнес: если вы оплачиваете физкультурно-оздоровительные услуги в организациях и у ИП, включенных в специальный перечень Минспорта;</w:t>
      </w:r>
    </w:p>
    <w:p w14:paraId="3975569B" w14:textId="77777777" w:rsidR="00CB1906" w:rsidRPr="001267A7" w:rsidRDefault="00CB1906" w:rsidP="00CB1906">
      <w:r w:rsidRPr="001267A7">
        <w:t xml:space="preserve">    другие категории трат в соответствии со статьей 219 Налогового кодекса РФ.</w:t>
      </w:r>
    </w:p>
    <w:p w14:paraId="65885092" w14:textId="77777777" w:rsidR="00CB1906" w:rsidRPr="001267A7" w:rsidRDefault="00CB1906" w:rsidP="00CB1906">
      <w:r w:rsidRPr="001267A7">
        <w:t>Кому полезен инвестиционный налоговый вычет</w:t>
      </w:r>
    </w:p>
    <w:p w14:paraId="3987F031" w14:textId="77777777" w:rsidR="00CB1906" w:rsidRPr="001267A7" w:rsidRDefault="00CB1906" w:rsidP="00CB1906">
      <w:r w:rsidRPr="001267A7">
        <w:t>Можно вернуть средства и за инвестиции — это предусмотрено статьей 219.1 Налогового кодекса РФ. Для этого нужно иметь индивидуальный инвестиционный счет (ИИС) — специальный брокерский счет, который позволяет получить налоговые льготы при приобретении ценных бумаг.</w:t>
      </w:r>
    </w:p>
    <w:p w14:paraId="2F166B02" w14:textId="77777777" w:rsidR="00CB1906" w:rsidRPr="001267A7" w:rsidRDefault="00CB1906" w:rsidP="00CB1906">
      <w:r w:rsidRPr="001267A7">
        <w:t>Важно учесть, что допустимо иметь только один ИИС, а при его использовании необходимо выбрать один из доступных типов налогового вычета и сохранять этот выбор на протяжении всего срока действия счета. Доступны следующие типы возврата средств:</w:t>
      </w:r>
    </w:p>
    <w:p w14:paraId="0A13F216" w14:textId="77777777" w:rsidR="00CB1906" w:rsidRPr="001267A7" w:rsidRDefault="00CB1906" w:rsidP="00CB1906">
      <w:r w:rsidRPr="001267A7">
        <w:t xml:space="preserve">    Вычет на взносы. Механизм возврата части уплаченного НДФЛ с суммы, внесенной на ИИС. Максимальный размер взносов, с которого можно вернуть до 13%, — 400 тыс. рублей. Таким образом, предельный возврат составляет 52 тыс. рублей. При использовании этого типа вычета нельзя снимать деньги с ИИС в течение трех лет, иначе полученные ранее налоговые выплаты придется вернуть;</w:t>
      </w:r>
    </w:p>
    <w:p w14:paraId="3A3AFEF9" w14:textId="77777777" w:rsidR="00CB1906" w:rsidRPr="001267A7" w:rsidRDefault="00CB1906" w:rsidP="00CB1906">
      <w:r w:rsidRPr="001267A7">
        <w:t xml:space="preserve">    Вычет на доход. Он позволяет не уплачивать налог с прибыли, полученной от инвестиционной деятельности на ИИС. Но нельзя одновременно использовать вычет и на доходы, и на взносы. Снятие средств будет возможно только по истечении трех лет после закрытия;</w:t>
      </w:r>
    </w:p>
    <w:p w14:paraId="04546D27" w14:textId="77777777" w:rsidR="00CB1906" w:rsidRPr="001267A7" w:rsidRDefault="00CB1906" w:rsidP="00CB1906">
      <w:r w:rsidRPr="001267A7">
        <w:t xml:space="preserve">    Вычет при переносе убытков от операций с ценными бумагами. Уменьшает налоговую базу — сумму, с которой рассчитывается налог с годового дохода. Это значит, что если вы по итогам года получили убыток от операций с ценными бумагами, которыми торговали на организованных рынках (к примеру, на бирже), то налог будет рассчитан не со всей суммы вашего дохода, а с той, что останется после вычета убытка. Чтобы воспользоваться этим правом, нужно подтвердить убытки документально;</w:t>
      </w:r>
    </w:p>
    <w:p w14:paraId="35EC2AB7" w14:textId="77777777" w:rsidR="00CB1906" w:rsidRPr="001267A7" w:rsidRDefault="00CB1906" w:rsidP="00CB1906">
      <w:r w:rsidRPr="001267A7">
        <w:t xml:space="preserve">    Вычет при передаче ценных бумаг между брокерскими счетами. Можно не платить НДФЛ при переводе ценных бумаг с одного брокерского счета на другой.</w:t>
      </w:r>
    </w:p>
    <w:p w14:paraId="402F7523" w14:textId="77777777" w:rsidR="00CB1906" w:rsidRPr="001267A7" w:rsidRDefault="00CB1906" w:rsidP="00CB1906">
      <w:r w:rsidRPr="001267A7">
        <w:t xml:space="preserve">За что дают вычет на долгосрочные сбережения </w:t>
      </w:r>
    </w:p>
    <w:p w14:paraId="77ADA491" w14:textId="77777777" w:rsidR="00CB1906" w:rsidRPr="001267A7" w:rsidRDefault="00CB1906" w:rsidP="00CB1906">
      <w:r w:rsidRPr="001267A7">
        <w:lastRenderedPageBreak/>
        <w:t>Такой вычет подходит для тех, кто участвует в программе долгосрочных сбережений и лично вносит средства вне зависимости от того, кто уплачивает НДФЛ с дохода. Он предоставляется за:</w:t>
      </w:r>
    </w:p>
    <w:p w14:paraId="5B8F3B3F" w14:textId="77777777" w:rsidR="00CB1906" w:rsidRPr="001267A7" w:rsidRDefault="00CB1906" w:rsidP="00CB1906">
      <w:r w:rsidRPr="001267A7">
        <w:t xml:space="preserve">    Договоры долгосрочных сбережений с негосударственными пенсионными фондами (НПФ). Некоторые люди копят на будущее, заключая договоры с негосударственными пенсионными фондами. Каждый месяц они делают взносы в НПФ, которые потом будут учитываться при расчете пенсии. Это не то же самое, что НДФЛ с зарплаты, — отчисления в НПФ производятся по желанию;</w:t>
      </w:r>
    </w:p>
    <w:p w14:paraId="20E0C15F" w14:textId="77777777" w:rsidR="00CB1906" w:rsidRPr="001267A7" w:rsidRDefault="00CB1906" w:rsidP="00CB1906">
      <w:r w:rsidRPr="001267A7">
        <w:t xml:space="preserve">    Взносы на индивидуальные инвестиционные счета. Вы можете получить вычет на деньги, которые положили на ИИС, открытый после 1 января 2024 года. А еще — на прибыль, которую заработали на этом счете, если сразу положили ее обратно на тот же ИИС.</w:t>
      </w:r>
    </w:p>
    <w:p w14:paraId="6967190C" w14:textId="77777777" w:rsidR="00CB1906" w:rsidRPr="001267A7" w:rsidRDefault="00CB1906" w:rsidP="00CB1906">
      <w:r w:rsidRPr="001267A7">
        <w:t>Порядок получения и условия применения данного вычета подробно описаны в статье 219.2 Налогового кодекса РФ.</w:t>
      </w:r>
    </w:p>
    <w:p w14:paraId="3338E2C3" w14:textId="77777777" w:rsidR="00CB1906" w:rsidRPr="001267A7" w:rsidRDefault="00CB1906" w:rsidP="00CB1906">
      <w:r w:rsidRPr="001267A7">
        <w:t xml:space="preserve">Что такое имущественный налоговый вычет </w:t>
      </w:r>
    </w:p>
    <w:p w14:paraId="286020EB" w14:textId="77777777" w:rsidR="00CB1906" w:rsidRPr="001267A7" w:rsidRDefault="00CB1906" w:rsidP="00CB1906">
      <w:r w:rsidRPr="001267A7">
        <w:t>Этот вычет связан с недвижимостью, транспортом, бытовой техникой и прочим имуществом. Главное его отличие заключается в том, что его нельзя получать на постоянной основе — средства выплачиваются единожды.</w:t>
      </w:r>
    </w:p>
    <w:p w14:paraId="0ADB9531" w14:textId="77777777" w:rsidR="00CB1906" w:rsidRPr="001267A7" w:rsidRDefault="00CB1906" w:rsidP="00CB1906">
      <w:r w:rsidRPr="001267A7">
        <w:t>Этот вид налогового вычета доступен на разных основаниях.</w:t>
      </w:r>
    </w:p>
    <w:p w14:paraId="24F726A9" w14:textId="77777777" w:rsidR="00CB1906" w:rsidRPr="001267A7" w:rsidRDefault="00CB1906" w:rsidP="00CB1906">
      <w:r w:rsidRPr="001267A7">
        <w:t>При покупке или строительстве жилья. Это относится к квартирам, домам, земельным участкам, долям в помещении, а также к строительству нового жилья. Максимальная сумма, с которой можно получить вычет, составляет 2 млн рублей. Это значит, что предельная сумма возврата налога — 260 тыс. рублей (2 000 000 х 13%).</w:t>
      </w:r>
    </w:p>
    <w:p w14:paraId="3892DB2A" w14:textId="77777777" w:rsidR="00CB1906" w:rsidRPr="001267A7" w:rsidRDefault="00CB1906" w:rsidP="00CB1906">
      <w:r w:rsidRPr="001267A7">
        <w:t>Если стоимость жилья меньше установленного лимита, остаток можно будет использовать при покупке другого объекта недвижимости. При приобретении жилья в совместную собственность каждый владелец имеет право на вычет в пределах своей доли. Стоит учесть, что он не положен, если покупка совершена у близких родственников.</w:t>
      </w:r>
    </w:p>
    <w:p w14:paraId="74EEB5D1" w14:textId="77777777" w:rsidR="00CB1906" w:rsidRPr="001267A7" w:rsidRDefault="00CB1906" w:rsidP="00CB1906">
      <w:r w:rsidRPr="001267A7">
        <w:t>При продаже имущества. Распространяется на недвижимость, транспортные средства и другое имущество — мебель, бытовую технику, автомобили и т.д. В этой категории вычет рассчитывается совсем по-другому. К примеру, при продаже квартиры за 20 млн рублей налог будет уплачиваться только с 19 млн, а если дом стоил 5 млн рублей — НДФЛ будет рассчитываться с 4 млн. Так, 1 млн рублей — максимальная сумма вычета для жилой недвижимости и земельных участков. Для другого имущества — 250 тыс. рублей. То есть за продажу машины стоимостью 3 млн рублей налог будет рассчитываться с 2,75 млн.</w:t>
      </w:r>
    </w:p>
    <w:p w14:paraId="04C211C9" w14:textId="77777777" w:rsidR="00CB1906" w:rsidRPr="001267A7" w:rsidRDefault="00CB1906" w:rsidP="00CB1906">
      <w:r w:rsidRPr="001267A7">
        <w:t>Для получения налогового вычета при продаже имущества важное значение имеет срок владения. Если недвижимость была получена по наследству, в дар от близких родственников или при приватизации, то вернуть часть средств за ее продажу можно будет спустя три года после перехода в собственность. Это правило распространяется и на единственное жилье. В остальных случаях вычет за продажу недвижимости возможен только при владении ею не менее пяти лет. Для иного имущества минимальный срок — три года.</w:t>
      </w:r>
    </w:p>
    <w:p w14:paraId="2430ED11" w14:textId="77777777" w:rsidR="00CB1906" w:rsidRPr="001267A7" w:rsidRDefault="00CB1906" w:rsidP="00CB1906">
      <w:r w:rsidRPr="001267A7">
        <w:lastRenderedPageBreak/>
        <w:t>По процентам по ипотеке. Можно вернуть часть средств, которые вы заплатили в виде процентов по целевым займам (кредитам) на приобретение или строительство жилья. Размер вычета ограничен суммой в 3 млн рублей (не действует, если ипотека оформлена до 2014 года). Максимально можно вернуть 390 тыс. рублей (3 000 000 × 13%). Вычет дается только на одну недвижимость и за фактически уплаченные проценты банку.</w:t>
      </w:r>
    </w:p>
    <w:p w14:paraId="04035CA0" w14:textId="77777777" w:rsidR="00CB1906" w:rsidRPr="001267A7" w:rsidRDefault="00CB1906" w:rsidP="00CB1906">
      <w:r w:rsidRPr="001267A7">
        <w:t>Подробную информацию об этом вычете можно найти в статье 220 Налогового кодекса РФ.</w:t>
      </w:r>
    </w:p>
    <w:p w14:paraId="1005297D" w14:textId="77777777" w:rsidR="00CB1906" w:rsidRPr="001267A7" w:rsidRDefault="00CB1906" w:rsidP="00CB1906">
      <w:r w:rsidRPr="001267A7">
        <w:t>Кому положен профессиональный налоговый вычет</w:t>
      </w:r>
    </w:p>
    <w:p w14:paraId="31155F34" w14:textId="77777777" w:rsidR="00CB1906" w:rsidRPr="001267A7" w:rsidRDefault="00CB1906" w:rsidP="00CB1906">
      <w:r w:rsidRPr="001267A7">
        <w:t>ИП и лица, занимающиеся частной практикой (нотариусы, адвокаты), могут возместить расходы на материалы и сырье, которые были использованы для производства и оказания услуг, аренду помещения, рекламу, амортизацию средств, а также на повышение квалификации. Помимо этого, у ИП есть возможность оформить вычет с налоговых сборов для предпринимателей.</w:t>
      </w:r>
    </w:p>
    <w:p w14:paraId="1BF2099C" w14:textId="77777777" w:rsidR="00CB1906" w:rsidRPr="001267A7" w:rsidRDefault="00CB1906" w:rsidP="00CB1906">
      <w:r w:rsidRPr="001267A7">
        <w:t>Авторы научных и художественных произведений, изобретатели, а также сотрудники, трудящиеся по договорам ГПХ, вправе получить обратно часть денег, потраченных на материалы, необходимые для работы, оплату проезда, а также услуги консультантов и экспертов.</w:t>
      </w:r>
    </w:p>
    <w:p w14:paraId="2F677699" w14:textId="77777777" w:rsidR="00CB1906" w:rsidRPr="001267A7" w:rsidRDefault="00CB1906" w:rsidP="00CB1906">
      <w:r w:rsidRPr="001267A7">
        <w:t xml:space="preserve">По общему правилу, профессиональный налоговый вычет равен сумме фактически произведенных и документально подтвержденных расходов. В частных случаях, если у авторов и сотрудников, работающих по ГПХ, отсутствуют подтверждения расходов, они могут применить фиксированный вычет в размере 20% от суммы дохода. </w:t>
      </w:r>
    </w:p>
    <w:p w14:paraId="2F3D85A7" w14:textId="77777777" w:rsidR="00CB1906" w:rsidRPr="001267A7" w:rsidRDefault="00CB1906" w:rsidP="00CB1906">
      <w:r w:rsidRPr="001267A7">
        <w:t>В статье 221 Налогового кодекса Российской Федерации представлено детальное описание этого вида вычета.</w:t>
      </w:r>
    </w:p>
    <w:p w14:paraId="663D28BD" w14:textId="77777777" w:rsidR="00CB1906" w:rsidRPr="001267A7" w:rsidRDefault="00CB1906" w:rsidP="00CB1906">
      <w:r w:rsidRPr="001267A7">
        <w:t>Как получить налоговый вычет</w:t>
      </w:r>
    </w:p>
    <w:p w14:paraId="5350C907" w14:textId="77777777" w:rsidR="00CB1906" w:rsidRPr="001267A7" w:rsidRDefault="00CB1906" w:rsidP="00CB1906">
      <w:r w:rsidRPr="001267A7">
        <w:t>Разберемся на примере, как можно оформить разные виды налогового вычета. Варвара Петровна зарабатывает 70 тыс. рублей в месяц после вычета НДФЛ, ее годовой доход — 840 тыс. рублей. Поэтому она будет платить 13% налога, и всего государству уходит 109,2 тыс. рублей.</w:t>
      </w:r>
    </w:p>
    <w:p w14:paraId="5D3D00BC" w14:textId="77777777" w:rsidR="00CB1906" w:rsidRPr="001267A7" w:rsidRDefault="00CB1906" w:rsidP="00CB1906">
      <w:r w:rsidRPr="001267A7">
        <w:t>Вместе с мужем они выплачивают ипотеку. У них есть двое несовершеннолетних детей, которые получают образование в школе, а третий ребенок обучается в университете на очной программе.</w:t>
      </w:r>
    </w:p>
    <w:p w14:paraId="08521B6B" w14:textId="77777777" w:rsidR="00CB1906" w:rsidRPr="001267A7" w:rsidRDefault="00CB1906" w:rsidP="00CB1906">
      <w:r w:rsidRPr="001267A7">
        <w:t>Варвара Петровна решила, что для покрытия всех расходов будет рационально получить налоговый вычет — она может претендовать на стандартный, социальный и имущественный. Предварительно она посчитала, сколько сможет получить обратно с уплаченных налогов:</w:t>
      </w:r>
    </w:p>
    <w:p w14:paraId="50F299A8" w14:textId="77777777" w:rsidR="00CB1906" w:rsidRPr="001267A7" w:rsidRDefault="00CB1906" w:rsidP="00CB1906">
      <w:r w:rsidRPr="001267A7">
        <w:t xml:space="preserve">    стандартный вычет родителям: на первого ребенка — 1,4 тыс. рублей, на второго — 2,8 тыс. рублей и на третьего — 6 тыс. рублей. Суммарно получается 10,2 тыс. рублей ежемесячно. Выплаты пойдут отдельно от всех остальных вычетов и будут начисляться до того месяца, пока не будет превышен лимит дохода в 450 тыс. рублей в год;</w:t>
      </w:r>
    </w:p>
    <w:p w14:paraId="05FDAE4E" w14:textId="77777777" w:rsidR="00CB1906" w:rsidRPr="001267A7" w:rsidRDefault="00CB1906" w:rsidP="00CB1906">
      <w:r w:rsidRPr="001267A7">
        <w:lastRenderedPageBreak/>
        <w:t xml:space="preserve">    социальный вычет на обучение ребенка: на образование детей всего можно получить возврат в пределах 120 тыс. рублей. Варвара Петровна потратила на обучение своего ребенка 300 тыс. рублей. Из этой суммы она может вернуть до 14,3 тыс. в год;</w:t>
      </w:r>
    </w:p>
    <w:p w14:paraId="7014ABDE" w14:textId="77777777" w:rsidR="00CB1906" w:rsidRPr="001267A7" w:rsidRDefault="00CB1906" w:rsidP="00CB1906">
      <w:r w:rsidRPr="001267A7">
        <w:t xml:space="preserve">    имущественный вычет на проценты по ипотеке: Варвара Петровна уплатила 400 тыс. рублей по ипотеке за год. Значит, вернуть она может 13% от этой суммы — 52 тыс. рублей.</w:t>
      </w:r>
    </w:p>
    <w:p w14:paraId="64125311" w14:textId="77777777" w:rsidR="00CB1906" w:rsidRPr="001267A7" w:rsidRDefault="00CB1906" w:rsidP="00CB1906">
      <w:r w:rsidRPr="001267A7">
        <w:t>Ограничение по сумме налогового вычета для Варвары Петровны равно 109,2 тыс. рублей в год — столько с ее доходов уходит государству. В месяц же она сможет получать 9,1 тыс. рублей. Теперь стоит подсчитать, не превысят ли налоговые вычеты Варвары Петровны этот лимит:</w:t>
      </w:r>
    </w:p>
    <w:p w14:paraId="2E0990EA" w14:textId="77777777" w:rsidR="00CB1906" w:rsidRPr="001267A7" w:rsidRDefault="00CB1906" w:rsidP="00CB1906">
      <w:r w:rsidRPr="001267A7">
        <w:t>14 300 + 52 000 = 66 300</w:t>
      </w:r>
    </w:p>
    <w:p w14:paraId="40091D66" w14:textId="77777777" w:rsidR="00CB1906" w:rsidRPr="001267A7" w:rsidRDefault="00CB1906" w:rsidP="00CB1906">
      <w:r w:rsidRPr="001267A7">
        <w:t>Это не превышает ограничение, поэтому Варвара Петровна получит полностью все средства. А вычет на детей идет отдельно, поэтому он не учитывается в подсчете.</w:t>
      </w:r>
    </w:p>
    <w:p w14:paraId="38B9BB54" w14:textId="77777777" w:rsidR="00CB1906" w:rsidRPr="001267A7" w:rsidRDefault="00CB1906" w:rsidP="00CB1906">
      <w:r w:rsidRPr="001267A7">
        <w:t>Ознакомившись с условиями получения, она обратилась в подразделение Федеральной налоговой службы по месту ее регистрации. Туда надо предоставить много разных документов. Из обязательных:</w:t>
      </w:r>
    </w:p>
    <w:p w14:paraId="48546739" w14:textId="77777777" w:rsidR="00CB1906" w:rsidRPr="001267A7" w:rsidRDefault="00CB1906" w:rsidP="00CB1906">
      <w:r w:rsidRPr="001267A7">
        <w:t xml:space="preserve">    паспорт; </w:t>
      </w:r>
    </w:p>
    <w:p w14:paraId="6908CA26" w14:textId="77777777" w:rsidR="00CB1906" w:rsidRPr="001267A7" w:rsidRDefault="00CB1906" w:rsidP="00CB1906">
      <w:r w:rsidRPr="001267A7">
        <w:t xml:space="preserve">    справка о доходах и суммах налога физических лица (2-НДФЛ), можно получить у работодателя, в личном кабинете налогоплательщика на сайте ФНС или на сайте Госуслуг; </w:t>
      </w:r>
    </w:p>
    <w:p w14:paraId="114008D9" w14:textId="77777777" w:rsidR="00CB1906" w:rsidRPr="001267A7" w:rsidRDefault="00CB1906" w:rsidP="00CB1906">
      <w:r w:rsidRPr="001267A7">
        <w:t xml:space="preserve">    декларация по форме 3-НДФЛ; </w:t>
      </w:r>
    </w:p>
    <w:p w14:paraId="60A015AB" w14:textId="77777777" w:rsidR="00CB1906" w:rsidRPr="001267A7" w:rsidRDefault="00CB1906" w:rsidP="00CB1906">
      <w:r w:rsidRPr="001267A7">
        <w:t xml:space="preserve">    заявление на возврат НДФЛ, согласовывается при подаче 3-НДФЛ; </w:t>
      </w:r>
    </w:p>
    <w:p w14:paraId="786C1ABB" w14:textId="77777777" w:rsidR="00CB1906" w:rsidRPr="001267A7" w:rsidRDefault="00CB1906" w:rsidP="00CB1906">
      <w:r w:rsidRPr="001267A7">
        <w:t xml:space="preserve">    реквизиты банковского счета, на который будут перечислены деньги. </w:t>
      </w:r>
    </w:p>
    <w:p w14:paraId="664A816D" w14:textId="77777777" w:rsidR="00CB1906" w:rsidRPr="001267A7" w:rsidRDefault="00CB1906" w:rsidP="00CB1906">
      <w:r w:rsidRPr="001267A7">
        <w:t>Также Варваре Петровне нужно собрать дополнительные документы для трех доступных ей вычетов:</w:t>
      </w:r>
    </w:p>
    <w:p w14:paraId="5354186D" w14:textId="77777777" w:rsidR="00CB1906" w:rsidRPr="001267A7" w:rsidRDefault="00CB1906" w:rsidP="00CB1906">
      <w:r w:rsidRPr="001267A7">
        <w:t xml:space="preserve">    имущественный на ипотеку: договор купли-продажи, выписка из Единого государственного реестра недвижимости (ЕГРН), чеки об оплате, договор об ипотеке; </w:t>
      </w:r>
    </w:p>
    <w:p w14:paraId="5C39E1AA" w14:textId="77777777" w:rsidR="00CB1906" w:rsidRPr="001267A7" w:rsidRDefault="00CB1906" w:rsidP="00CB1906">
      <w:r w:rsidRPr="001267A7">
        <w:t xml:space="preserve">    социальный на обучение: договор с университетом, лицензия учебного заведения (если в договоре не указано), справка об оплате; </w:t>
      </w:r>
    </w:p>
    <w:p w14:paraId="33932F52" w14:textId="77777777" w:rsidR="00CB1906" w:rsidRPr="001267A7" w:rsidRDefault="00CB1906" w:rsidP="00CB1906">
      <w:r w:rsidRPr="001267A7">
        <w:t xml:space="preserve">    стандартный на детей: свидетельство о рождении ребенка. </w:t>
      </w:r>
    </w:p>
    <w:p w14:paraId="308B1A3B" w14:textId="77777777" w:rsidR="00CB1906" w:rsidRPr="001267A7" w:rsidRDefault="00CB1906" w:rsidP="00CB1906">
      <w:r w:rsidRPr="001267A7">
        <w:t xml:space="preserve">Полный список необходимых документов для конкретного вычета есть на сайте ФНС и в личном кабинете налогоплательщика, также его можно уточнить у налогового консультанта. </w:t>
      </w:r>
    </w:p>
    <w:p w14:paraId="637A212C" w14:textId="77777777" w:rsidR="00CB1906" w:rsidRPr="001267A7" w:rsidRDefault="00CB1906" w:rsidP="00CB1906">
      <w:r w:rsidRPr="001267A7">
        <w:t>После сбора документов Варваре Петровне нужно заполнить декларацию — документ, который подается в налоговую, чтобы отчитаться о прибыли, тратах и сборах за год. В декларации нужно указать персональные данные, сведения о доходах из справки 2-НДФЛ, сумму вычета, которую вы самостоятельно рассчитываете, а также реквизиты банковского счета для перечисления средств.</w:t>
      </w:r>
    </w:p>
    <w:p w14:paraId="5F5789B9" w14:textId="77777777" w:rsidR="00CB1906" w:rsidRPr="001267A7" w:rsidRDefault="00CB1906" w:rsidP="00CB1906">
      <w:r w:rsidRPr="001267A7">
        <w:t xml:space="preserve">Самая распространенная форма для физлиц — 3-НДФЛ. Заполнить ее можно несколькими способами. Варвара Петровна, к примеру, сделала это через личный </w:t>
      </w:r>
      <w:r w:rsidRPr="001267A7">
        <w:lastRenderedPageBreak/>
        <w:t>кабинет налогоплательщика на сайте ФНС. Данные о доходах Варвары Петровны подтягиваются автоматически, и программа подсказывает, как правильно заполнить декларацию. Также есть еще три способа ее заполнения:</w:t>
      </w:r>
    </w:p>
    <w:p w14:paraId="3C4B57E6" w14:textId="77777777" w:rsidR="00CB1906" w:rsidRPr="001267A7" w:rsidRDefault="00CB1906" w:rsidP="00CB1906">
      <w:r w:rsidRPr="001267A7">
        <w:t xml:space="preserve">    Вручную. Можно скачать бланк с сайта ФНС и заполнить от руки;</w:t>
      </w:r>
    </w:p>
    <w:p w14:paraId="3177D64B" w14:textId="77777777" w:rsidR="00CB1906" w:rsidRPr="001267A7" w:rsidRDefault="00CB1906" w:rsidP="00CB1906">
      <w:r w:rsidRPr="001267A7">
        <w:t xml:space="preserve">    В программе «Декларация». Ее можно установить на компьютер с сайта ФНС. Программа помогает заполнить документ;</w:t>
      </w:r>
    </w:p>
    <w:p w14:paraId="5D64B683" w14:textId="77777777" w:rsidR="00CB1906" w:rsidRPr="001267A7" w:rsidRDefault="00CB1906" w:rsidP="00CB1906">
      <w:r w:rsidRPr="001267A7">
        <w:t xml:space="preserve">    Через налогового консультанта. Специалист поможет в оформлении налоговой декларации и получении вычетов, но за отдельную плату.</w:t>
      </w:r>
    </w:p>
    <w:p w14:paraId="7BBAB36D" w14:textId="77777777" w:rsidR="00CB1906" w:rsidRPr="001267A7" w:rsidRDefault="00CB1906" w:rsidP="00CB1906">
      <w:r w:rsidRPr="001267A7">
        <w:t>Подать декларацию для получения налогового вычета можно в течение трех лет после окончания налогового периода, в котором возникло право на вычет. Дата, до которой нужно уплатить НДФЛ, не переносится.</w:t>
      </w:r>
    </w:p>
    <w:p w14:paraId="448255C2" w14:textId="77777777" w:rsidR="00CB1906" w:rsidRPr="001267A7" w:rsidRDefault="00CB1906" w:rsidP="00CB1906">
      <w:r w:rsidRPr="001267A7">
        <w:t>Следующий этап — подача всех документов и декларации. Варвара Петровна решила сделать это в том же личном кабинете налогоплательщика. Также можно обратиться в налоговую инспекцию по месту регистрации лично и предоставить отчетность и подтверждающую документацию в бумажном виде.</w:t>
      </w:r>
    </w:p>
    <w:p w14:paraId="5720C260" w14:textId="77777777" w:rsidR="00CB1906" w:rsidRPr="001267A7" w:rsidRDefault="00CB1906" w:rsidP="00CB1906">
      <w:r w:rsidRPr="001267A7">
        <w:t>Некоторые многофункциональные центры (МФЦ) тоже принимают декларации 3-НДФЛ — для того чтобы узнать, принимает ли ваш МФЦ документы, нужно обратиться туда по телефону или найти информацию на сайте центра. Наконец, заявление и копии документов можно отправить по почте заказным письмом с описью вложения, которая подтвердит, какие документы были отправлены.</w:t>
      </w:r>
    </w:p>
    <w:p w14:paraId="1ECDC0FB" w14:textId="77777777" w:rsidR="00CB1906" w:rsidRPr="001267A7" w:rsidRDefault="00CB1906" w:rsidP="00CB1906">
      <w:r w:rsidRPr="001267A7">
        <w:t>После подачи всего необходимого Варвара Петровна должна дождаться уведомления, которое придет тем же путем, каким и был отправлен запрос на получение вычета. В ее случае — это личный кабинет.</w:t>
      </w:r>
    </w:p>
    <w:p w14:paraId="56712A6F" w14:textId="77777777" w:rsidR="00CB1906" w:rsidRPr="001267A7" w:rsidRDefault="00CB1906" w:rsidP="00CB1906">
      <w:r w:rsidRPr="001267A7">
        <w:t xml:space="preserve">Срок рассмотрения — четыре месяца. За этот период налоговая инспекция проводит камеральную проверку, на которой изучают подлинность предоставленных данных. Если будет обнаружена ошибка, то срок может быть продлен. В случае положительного решения деньги перечислят на указанный банковский счет. </w:t>
      </w:r>
    </w:p>
    <w:p w14:paraId="4E75C894" w14:textId="77777777" w:rsidR="00111D7C" w:rsidRPr="001267A7" w:rsidRDefault="00CB1906" w:rsidP="00CB1906">
      <w:hyperlink r:id="rId42" w:history="1">
        <w:r w:rsidRPr="001267A7">
          <w:rPr>
            <w:rStyle w:val="a3"/>
          </w:rPr>
          <w:t>https://tass.ru/ekonomika/23964135</w:t>
        </w:r>
      </w:hyperlink>
    </w:p>
    <w:p w14:paraId="179CB0F5" w14:textId="77777777" w:rsidR="00CB1906" w:rsidRDefault="00CB1906" w:rsidP="00CB1906"/>
    <w:p w14:paraId="713D5CA6" w14:textId="77777777" w:rsidR="000B1BAB" w:rsidRPr="000B1BAB" w:rsidRDefault="000B1BAB" w:rsidP="000B1BAB">
      <w:pPr>
        <w:pStyle w:val="2"/>
      </w:pPr>
      <w:bookmarkStart w:id="168" w:name="_Hlk198618810"/>
      <w:bookmarkStart w:id="169" w:name="_Toc198618953"/>
      <w:r>
        <w:t>АиФ, 19.05.2025</w:t>
      </w:r>
      <w:r w:rsidRPr="000B1BAB">
        <w:t xml:space="preserve">, </w:t>
      </w:r>
      <w:r>
        <w:t>Эксперты назвали суммы, которые российские пенсионеры хранят на вкладах</w:t>
      </w:r>
      <w:bookmarkEnd w:id="169"/>
    </w:p>
    <w:p w14:paraId="5A184E9B" w14:textId="77777777" w:rsidR="000B1BAB" w:rsidRDefault="000B1BAB" w:rsidP="000B1BAB">
      <w:pPr>
        <w:pStyle w:val="3"/>
      </w:pPr>
      <w:bookmarkStart w:id="170" w:name="_Toc198618954"/>
      <w:r>
        <w:t>По статистике, более чем у 50% пенсионеров есть открытые вклады и накопительные счета. Наиболее популярны накопительные продукты у пенсионеров в Приволжском и Северо-Западном федеральных округах.</w:t>
      </w:r>
      <w:bookmarkEnd w:id="170"/>
    </w:p>
    <w:p w14:paraId="718C6559" w14:textId="77777777" w:rsidR="000B1BAB" w:rsidRDefault="000B1BAB" w:rsidP="000B1BAB">
      <w:r>
        <w:t>Четверть пенсионеров выбирают вклады и считают их основным способом сохранить и приумножить свои накопления, при этом 43% клиентов пенсионного возраста открывают накопительные счета. Несмотря на текущий тренд на краткосрочные вклады до 3 месяцев, пенсионеры в основном предпочитают открывать вклады на срок от 3 месяцев до полугода. Почти 6% пользователей предпочитают вклады на 1-2 года.</w:t>
      </w:r>
    </w:p>
    <w:p w14:paraId="32190DC1" w14:textId="77777777" w:rsidR="000B1BAB" w:rsidRDefault="000B1BAB" w:rsidP="000B1BAB">
      <w:r>
        <w:lastRenderedPageBreak/>
        <w:t>«По нашим данным, в этом году увеличилось не только количество открытых депозитов, но и сумма вложенных пенсионерами средств», - рассказала начальник управления «Старшее поколение» ВТБ Анна Нестерова.</w:t>
      </w:r>
    </w:p>
    <w:p w14:paraId="063179DC" w14:textId="77777777" w:rsidR="000B1BAB" w:rsidRDefault="000B1BAB" w:rsidP="000B1BAB">
      <w:r>
        <w:t>В 2024 году размер среднего вклада по сравнению с 2023 годом увеличился примерно на 10% и составил 705 тыс. рублей. Средняя сумма на накопительных счетах у пенсионеров по итогу 2024 года составляла 214 тыс. рублей, что на 7% больше, чем в 2023 году.</w:t>
      </w:r>
    </w:p>
    <w:p w14:paraId="331CB11C" w14:textId="77777777" w:rsidR="000B1BAB" w:rsidRDefault="000B1BAB" w:rsidP="000B1BAB">
      <w:r>
        <w:t>Основная доля пенсионеров предпочитает открывать вклады и накопительные счета в отделениях банка. По итогам первых трех месяцев 2025 года 78% клиентов старшего поколения оформили сберегательные продукты в банковских офисах. В целом число клиентов 60+, обращающихся в отделения для размещения своих накоплений, выросло на 70%.</w:t>
      </w:r>
    </w:p>
    <w:p w14:paraId="6EC33DE2" w14:textId="77777777" w:rsidR="000B1BAB" w:rsidRDefault="000B1BAB" w:rsidP="000B1BAB">
      <w:hyperlink r:id="rId43" w:history="1">
        <w:r w:rsidRPr="004F3F00">
          <w:rPr>
            <w:rStyle w:val="a3"/>
          </w:rPr>
          <w:t>https://rostov.aif.ru/society/details/eksperty-nazvali-summy-kotorye-rossiyskie-pensionery-hranyat-na-vkladah</w:t>
        </w:r>
      </w:hyperlink>
      <w:r w:rsidRPr="000B1BAB">
        <w:t xml:space="preserve"> </w:t>
      </w:r>
    </w:p>
    <w:bookmarkEnd w:id="168"/>
    <w:p w14:paraId="532A0894" w14:textId="77777777" w:rsidR="00593D6A" w:rsidRDefault="00593D6A" w:rsidP="000B1BAB"/>
    <w:p w14:paraId="0E97EAD0" w14:textId="77777777" w:rsidR="00111D7C" w:rsidRPr="001267A7" w:rsidRDefault="00111D7C" w:rsidP="00111D7C">
      <w:pPr>
        <w:pStyle w:val="251"/>
      </w:pPr>
      <w:bookmarkStart w:id="171" w:name="_Toc99271712"/>
      <w:bookmarkStart w:id="172" w:name="_Toc99318658"/>
      <w:bookmarkStart w:id="173" w:name="_Toc165991078"/>
      <w:bookmarkStart w:id="174" w:name="_Toc198618955"/>
      <w:bookmarkEnd w:id="131"/>
      <w:bookmarkEnd w:id="132"/>
      <w:r w:rsidRPr="001267A7">
        <w:lastRenderedPageBreak/>
        <w:t>НОВОСТИ ЗАРУБЕЖНЫХ ПЕНСИОННЫХ СИСТЕМ</w:t>
      </w:r>
      <w:bookmarkEnd w:id="171"/>
      <w:bookmarkEnd w:id="172"/>
      <w:bookmarkEnd w:id="173"/>
      <w:bookmarkEnd w:id="174"/>
    </w:p>
    <w:p w14:paraId="7517E741" w14:textId="77777777" w:rsidR="00111D7C" w:rsidRPr="001267A7" w:rsidRDefault="00111D7C" w:rsidP="00111D7C">
      <w:pPr>
        <w:pStyle w:val="10"/>
      </w:pPr>
      <w:bookmarkStart w:id="175" w:name="_Toc99271713"/>
      <w:bookmarkStart w:id="176" w:name="_Toc99318659"/>
      <w:bookmarkStart w:id="177" w:name="_Toc165991079"/>
      <w:bookmarkStart w:id="178" w:name="_Toc198618956"/>
      <w:r w:rsidRPr="001267A7">
        <w:t>Новости пенсионной отрасли стран ближнего зарубежья</w:t>
      </w:r>
      <w:bookmarkEnd w:id="175"/>
      <w:bookmarkEnd w:id="176"/>
      <w:bookmarkEnd w:id="177"/>
      <w:bookmarkEnd w:id="178"/>
    </w:p>
    <w:p w14:paraId="310FA392" w14:textId="77777777" w:rsidR="007729D8" w:rsidRPr="001267A7" w:rsidRDefault="007729D8" w:rsidP="007729D8">
      <w:pPr>
        <w:pStyle w:val="2"/>
      </w:pPr>
      <w:bookmarkStart w:id="179" w:name="_Toc198618957"/>
      <w:r w:rsidRPr="001267A7">
        <w:t>Zakon.kz, 19.05.2025, Пенсионные активы: как ими управляют и почему не стоит бояться временных колебаний</w:t>
      </w:r>
      <w:bookmarkEnd w:id="179"/>
    </w:p>
    <w:p w14:paraId="4002F4BA" w14:textId="77777777" w:rsidR="007729D8" w:rsidRPr="001267A7" w:rsidRDefault="007729D8" w:rsidP="00E10B1E">
      <w:pPr>
        <w:pStyle w:val="3"/>
      </w:pPr>
      <w:bookmarkStart w:id="180" w:name="_Toc198618958"/>
      <w:r w:rsidRPr="001267A7">
        <w:t>С начала года многие казахстанцы заметили, что на их пенсионных счетах в ЕНПФ стало меньше денег. О том, как формируются и инвестируются пенсионные накопления, почему временами сумма на счете может уменьшаться, Zakon.kz рассказала заместитель Председателя Нацбанка РК Алия Молдабекова.</w:t>
      </w:r>
      <w:bookmarkEnd w:id="180"/>
    </w:p>
    <w:p w14:paraId="4C73517F" w14:textId="77777777" w:rsidR="007729D8" w:rsidRPr="001267A7" w:rsidRDefault="007729D8" w:rsidP="007729D8">
      <w:r w:rsidRPr="001267A7">
        <w:t>– Расскажите, пожалуйста, с чем связано снижение средств на пенсионных счетах и стоит ли казахстанцам беспокоиться по этому поводу?</w:t>
      </w:r>
    </w:p>
    <w:p w14:paraId="7F0A4B60" w14:textId="77777777" w:rsidR="007729D8" w:rsidRPr="001267A7" w:rsidRDefault="007729D8" w:rsidP="007729D8">
      <w:r w:rsidRPr="001267A7">
        <w:t>– С начала 2025 года вкладчики действительно могли заметить уменьшение суммы на своих пенсионных счетах. По итогам первых четырех месяцев этого года инвестиционная доходность составила (-)1,05%, а совокупная отрицательная переоценка – 231,5 млрд тенге.</w:t>
      </w:r>
    </w:p>
    <w:p w14:paraId="48FAA4B3" w14:textId="77777777" w:rsidR="007729D8" w:rsidRPr="001267A7" w:rsidRDefault="007729D8" w:rsidP="007729D8">
      <w:r w:rsidRPr="001267A7">
        <w:t>Скажу сразу: это связано с переоценкой рыночной стоимости активов в портфеле. Поэтому оснований для беспокойства нет, ведь уже в апреле был зафиксирован положительный инвестиционный результат в размере (+)215 млрд тенге, что значительно компенсировало потери с начала года.</w:t>
      </w:r>
    </w:p>
    <w:p w14:paraId="528D468F" w14:textId="77777777" w:rsidR="007729D8" w:rsidRPr="001267A7" w:rsidRDefault="007729D8" w:rsidP="007729D8">
      <w:r w:rsidRPr="001267A7">
        <w:t>– Что стало причиной такого "минуса"? Почему активы вдруг подешевели?</w:t>
      </w:r>
    </w:p>
    <w:p w14:paraId="10D8CC7F" w14:textId="77777777" w:rsidR="007729D8" w:rsidRPr="001267A7" w:rsidRDefault="007729D8" w:rsidP="007729D8">
      <w:r w:rsidRPr="001267A7">
        <w:t>– Есть две ключевые причины временного снижения доходности. Первая – это рост доходностей государственных ценных бумаг Казахстана. Когда растет доходность, рыночная цена облигаций снижается. Это связано с инфляционными ожиданиями и повышенным предложением данных ценных бумаг со стороны Министерства финансов ввиду необходимости привлечения финансирования для покрытия дефицита республиканского бюджета.</w:t>
      </w:r>
    </w:p>
    <w:p w14:paraId="6829D0DE" w14:textId="77777777" w:rsidR="007729D8" w:rsidRPr="001267A7" w:rsidRDefault="007729D8" w:rsidP="007729D8">
      <w:r w:rsidRPr="001267A7">
        <w:t>Вторая причина – укрепление курса тенге по отношению к доллару США с 525,11 до 512,34 тенге за доллар. Это снизило в пересчете на тенге оценочную стоимость валютных активов, доля которых составляет порядка 40% от всего портфеля.</w:t>
      </w:r>
    </w:p>
    <w:p w14:paraId="273EBF59" w14:textId="77777777" w:rsidR="007729D8" w:rsidRPr="001267A7" w:rsidRDefault="007729D8" w:rsidP="007729D8">
      <w:r w:rsidRPr="001267A7">
        <w:t>Важно подчеркнуть, что речь идет о бумажном, нереализованном убытке. То есть это результат переоценки, а не фактической потери. При восстановлении рыночной стоимости активов и изменении валютного курса данные убытки будут нивелированы соответствующим доходом.</w:t>
      </w:r>
    </w:p>
    <w:p w14:paraId="2D3F85FC" w14:textId="77777777" w:rsidR="007729D8" w:rsidRPr="001267A7" w:rsidRDefault="007729D8" w:rsidP="007729D8">
      <w:r w:rsidRPr="001267A7">
        <w:t>– То есть это не катастрофа и не повод для паники?</w:t>
      </w:r>
    </w:p>
    <w:p w14:paraId="7903E76A" w14:textId="77777777" w:rsidR="007729D8" w:rsidRPr="001267A7" w:rsidRDefault="007729D8" w:rsidP="007729D8">
      <w:r w:rsidRPr="001267A7">
        <w:lastRenderedPageBreak/>
        <w:t>– Совершенно верно. Пенсионные активы – это долгосрочные инвестиции, и краткосрочные колебания в них неизбежны. По-настоящему оценивать эффективность управления необходимо на горизонте года и на более длительной основе.</w:t>
      </w:r>
    </w:p>
    <w:p w14:paraId="25D1C9AA" w14:textId="77777777" w:rsidR="007729D8" w:rsidRPr="001267A7" w:rsidRDefault="007729D8" w:rsidP="007729D8">
      <w:r w:rsidRPr="001267A7">
        <w:t>Например, за последние 12 месяцев, с мая 2024 по апрель 2025 года, доходность пенсионного портфеля составила 13,35% при инфляции в размере 10,7%. То есть реальный доход положительный, и пенсионные накопления казахстанцев продолжают расти.</w:t>
      </w:r>
    </w:p>
    <w:p w14:paraId="7C3257D8" w14:textId="77777777" w:rsidR="007729D8" w:rsidRPr="001267A7" w:rsidRDefault="007729D8" w:rsidP="007729D8">
      <w:r w:rsidRPr="001267A7">
        <w:t>В целом с момента консолидации пенсионных активов в ЕНПФ, которая завершилась в апреле 2014 года, накопленная доходность составила 180,2%, тогда как накопленная инфляция за этот период – 156%. А значит, пенсионные накопления казахстанцев стабильно растут в реальном выражении.</w:t>
      </w:r>
    </w:p>
    <w:p w14:paraId="3260F88C" w14:textId="77777777" w:rsidR="007729D8" w:rsidRPr="001267A7" w:rsidRDefault="007729D8" w:rsidP="007729D8">
      <w:r w:rsidRPr="001267A7">
        <w:t>Национальный Банк ведет постоянный мониторинг и управляет рисками. Мы оперативно реагируем на возникающие обстоятельства, исходя из целесообразности, рыночной ситуации, имеющихся возможностей и других факторов. Все это делается в интересах вкладчиков.</w:t>
      </w:r>
    </w:p>
    <w:p w14:paraId="4D2BEF18" w14:textId="77777777" w:rsidR="007729D8" w:rsidRPr="001267A7" w:rsidRDefault="007729D8" w:rsidP="007729D8">
      <w:r w:rsidRPr="001267A7">
        <w:t>– Сколько в целом пенсионных активов накопилось в ЕНПФ и что с ними происходит на данный момент?</w:t>
      </w:r>
    </w:p>
    <w:p w14:paraId="29805C90" w14:textId="77777777" w:rsidR="007729D8" w:rsidRPr="001267A7" w:rsidRDefault="007729D8" w:rsidP="007729D8">
      <w:r w:rsidRPr="001267A7">
        <w:t>– На сегодняшний день в ЕНПФ накоплено 22,6 трлн тенге. Это средства казахстанцев, которые поступают в фонд в виде обязательных, добровольных и профессиональных пенсионных взносов. Все они управляются в строгом соответствии с законодательством нашей страны.</w:t>
      </w:r>
    </w:p>
    <w:p w14:paraId="3C6BC8EB" w14:textId="77777777" w:rsidR="007729D8" w:rsidRPr="001267A7" w:rsidRDefault="007729D8" w:rsidP="007729D8">
      <w:r w:rsidRPr="001267A7">
        <w:t>Важно понимать, что пенсионные накопления не лежат без движения. Как и в большинстве стран, они инвестируются, чтобы сохранить и приумножить накопления.</w:t>
      </w:r>
    </w:p>
    <w:p w14:paraId="0E07B997" w14:textId="77777777" w:rsidR="007729D8" w:rsidRPr="001267A7" w:rsidRDefault="007729D8" w:rsidP="007729D8">
      <w:r w:rsidRPr="001267A7">
        <w:t>Управлением активов занимаются Национальный Банк и частные управляющие компании. Наша инвестиционная стратегия направлена на стабильный доход при приемлемом уровне риска. Это значит, что пенсионные активы размещаются как внутри страны, так и на международных рынках.</w:t>
      </w:r>
    </w:p>
    <w:p w14:paraId="59677DA4" w14:textId="77777777" w:rsidR="007729D8" w:rsidRPr="001267A7" w:rsidRDefault="007729D8" w:rsidP="007729D8">
      <w:r w:rsidRPr="001267A7">
        <w:t>– А какова картина в цифрах?</w:t>
      </w:r>
    </w:p>
    <w:p w14:paraId="724BE7B9" w14:textId="77777777" w:rsidR="007729D8" w:rsidRPr="001267A7" w:rsidRDefault="007729D8" w:rsidP="007729D8">
      <w:r w:rsidRPr="001267A7">
        <w:t>– Структура портфеля диверсифицирована по валюте: 60% активов в тенге, а 40% – в иностранной валюте. Это позволяет сбалансировать доходность и снизить валютные риски.</w:t>
      </w:r>
    </w:p>
    <w:p w14:paraId="65059AAB" w14:textId="77777777" w:rsidR="007729D8" w:rsidRPr="001267A7" w:rsidRDefault="007729D8" w:rsidP="007729D8">
      <w:r w:rsidRPr="001267A7">
        <w:t>Мы инвестируем в облигации, акции, депозиты и другие финансовые активы как отечественных, так и иностранных эмитентов.</w:t>
      </w:r>
    </w:p>
    <w:p w14:paraId="230B72B5" w14:textId="77777777" w:rsidR="007729D8" w:rsidRPr="001267A7" w:rsidRDefault="007729D8" w:rsidP="007729D8">
      <w:r w:rsidRPr="001267A7">
        <w:t>Если говорить о цифрах, то по итогам 2024 года доходность инвестиционного портфеля составила 17,84% при уровне инфляции 8,6%. Таким образом, вкладчики получили высокий положительный реальный доход. Суммарный инвестиционный доход за год составил 3,4 трлн тенге.</w:t>
      </w:r>
    </w:p>
    <w:p w14:paraId="093C4267" w14:textId="77777777" w:rsidR="007729D8" w:rsidRPr="001267A7" w:rsidRDefault="007729D8" w:rsidP="007729D8">
      <w:r w:rsidRPr="001267A7">
        <w:t>Отмечу, что ЕНПФ публикует подробные отчеты каждый месяц на своем официальном сайте, структура портфеля и результаты инвестиций открыты для всех.</w:t>
      </w:r>
    </w:p>
    <w:p w14:paraId="67CC292E" w14:textId="77777777" w:rsidR="007729D8" w:rsidRPr="001267A7" w:rsidRDefault="007729D8" w:rsidP="007729D8">
      <w:r w:rsidRPr="001267A7">
        <w:t xml:space="preserve">– Деньги вкладчиков в последнее время активно вкладываются в казахстанский квазигоссектор. Многие считают, что это не самый надежный инструмент для </w:t>
      </w:r>
      <w:r w:rsidRPr="001267A7">
        <w:lastRenderedPageBreak/>
        <w:t>инвестирования. Не получится ли, что деньги идут на поддержку экономики, а не приносят реальный доход?</w:t>
      </w:r>
    </w:p>
    <w:p w14:paraId="1E54B9A8" w14:textId="77777777" w:rsidR="007729D8" w:rsidRPr="001267A7" w:rsidRDefault="007729D8" w:rsidP="007729D8">
      <w:r w:rsidRPr="001267A7">
        <w:t>– Такой вопрос действительно регулярно поднимается в общественной повестке. И это понятно, люди хотят быть уверены, что накопления работают в их интересах. Важно уточнить, что инвестирование в финансовые инструменты казахстанских эмитентов – это устоявшаяся практика, соответствующая интересам как вкладчиков, так и экономики в целом.</w:t>
      </w:r>
    </w:p>
    <w:p w14:paraId="336323BF" w14:textId="77777777" w:rsidR="007729D8" w:rsidRPr="001267A7" w:rsidRDefault="007729D8" w:rsidP="007729D8">
      <w:r w:rsidRPr="001267A7">
        <w:t>Средства ЕНПФ регулярно инвестируются в облигации надежных казахстанских эмитентов, таких как АО "НУХ "Байтерек" и АО "ФНБ "Самрук-Казына". Они имеют высокие кредитные рейтинги, сопоставимые с рейтингом самого государства.</w:t>
      </w:r>
    </w:p>
    <w:p w14:paraId="7D5F1553" w14:textId="77777777" w:rsidR="007729D8" w:rsidRPr="001267A7" w:rsidRDefault="007729D8" w:rsidP="007729D8">
      <w:r w:rsidRPr="001267A7">
        <w:t>В свою очередь, данные эмитенты используют полученные средства для финансирования важных инвестиционных проектов в энергетике, транспорте, коммунальной инфраструктуре, агропромышленном комплексе и других стратегически важных отраслях экономики.</w:t>
      </w:r>
    </w:p>
    <w:p w14:paraId="43C2012C" w14:textId="77777777" w:rsidR="007729D8" w:rsidRPr="001267A7" w:rsidRDefault="007729D8" w:rsidP="007729D8">
      <w:r w:rsidRPr="001267A7">
        <w:t>Важно, что данные инвестиции осуществляются исключительно на рыночных условиях, на возвратной и возмездной основе, с учетом требуемой доходности и рисков. Это означает, что пенсионные активы работают как полноценный инвесторский капитал, а не как средство прямого финансирования.</w:t>
      </w:r>
    </w:p>
    <w:p w14:paraId="04B3BDBE" w14:textId="77777777" w:rsidR="007729D8" w:rsidRPr="001267A7" w:rsidRDefault="007729D8" w:rsidP="007729D8">
      <w:r w:rsidRPr="001267A7">
        <w:t>– И вкладчики от этого выигрывают?</w:t>
      </w:r>
    </w:p>
    <w:p w14:paraId="7E82E3CF" w14:textId="77777777" w:rsidR="007729D8" w:rsidRPr="001267A7" w:rsidRDefault="007729D8" w:rsidP="007729D8">
      <w:r w:rsidRPr="001267A7">
        <w:t>– Безусловно, такой подход позволяет обеспечивать стабильную рыночную доходность для вкладчиков и поддерживать при этом социально и экономически значимые проекты внутри страны. Деньги казахстанцев в первую очередь должны работать в Казахстане, на развитие нашей экономики, инфраструктуры и в целом на создание основы для повышения благосостояния населения.</w:t>
      </w:r>
    </w:p>
    <w:p w14:paraId="7E6A6878" w14:textId="77777777" w:rsidR="007729D8" w:rsidRPr="001267A7" w:rsidRDefault="007729D8" w:rsidP="007729D8">
      <w:r w:rsidRPr="001267A7">
        <w:t>При этом отмечу, что Национальный Банк строго разделяет интересы эмитентов и инвесторов. Все инвестиционные решения принимаются исключительно с учетом интересов вкладчиков.</w:t>
      </w:r>
    </w:p>
    <w:p w14:paraId="5336AF91" w14:textId="77777777" w:rsidR="007729D8" w:rsidRPr="001267A7" w:rsidRDefault="007729D8" w:rsidP="007729D8">
      <w:r w:rsidRPr="001267A7">
        <w:t>– Учитывая, сколько вопросов у людей вызывает управление пенсионными деньгами, будут ли какие-нибудь изменения в подходах? Может, появится больше вариантов для выбора?</w:t>
      </w:r>
    </w:p>
    <w:p w14:paraId="73FA1DC5" w14:textId="77777777" w:rsidR="007729D8" w:rsidRPr="001267A7" w:rsidRDefault="007729D8" w:rsidP="007729D8">
      <w:r w:rsidRPr="001267A7">
        <w:t>– Да, действительно мы планируем ряд мер. Они направлены на усиление долгосрочной устойчивости и адекватности уровня будущих выплат. Один из ключевых индикаторов эффективности – это коэффициент замещения дохода, то есть насколько пенсия может покрыть привычные расходы человека после выхода на заслуженный отдых. Чтобы показатель был достойным, важно добиваться реальной доходности, превышающей инфляцию.</w:t>
      </w:r>
    </w:p>
    <w:p w14:paraId="5D551570" w14:textId="77777777" w:rsidR="007729D8" w:rsidRPr="001267A7" w:rsidRDefault="007729D8" w:rsidP="007729D8">
      <w:r w:rsidRPr="001267A7">
        <w:t>– А что конкретно будет меняться?</w:t>
      </w:r>
    </w:p>
    <w:p w14:paraId="242441BB" w14:textId="77777777" w:rsidR="007729D8" w:rsidRPr="001267A7" w:rsidRDefault="007729D8" w:rsidP="007729D8">
      <w:r w:rsidRPr="001267A7">
        <w:t xml:space="preserve">– Во-первых, мы продолжим сохранять валютную диверсификацию. 40% активов останутся в валюте. Во-вторых, планируется изменение структуры валютной части портфеля в пользу более доходных классов активов, таких как акции и альтернативные инструменты, например, фонды недвижимости, частного капитала, хедж-фонды. Альтернативные инструменты широко применяются суверенными фондами по всему </w:t>
      </w:r>
      <w:r w:rsidRPr="001267A7">
        <w:lastRenderedPageBreak/>
        <w:t>миру и уже используются в Казахстане при управлении золотовалютными резервами с 2015 года и Национальным фондом с 2023 года.</w:t>
      </w:r>
    </w:p>
    <w:p w14:paraId="1DFA66D2" w14:textId="77777777" w:rsidR="007729D8" w:rsidRPr="001267A7" w:rsidRDefault="007729D8" w:rsidP="007729D8">
      <w:r w:rsidRPr="001267A7">
        <w:t>В-третьих, будет продолжена работа по развитию института частных управляющих компаний: уже сегодня вкладчики могут передать в их управление до 50% своих пенсионных накоплений. Да, пока объемы у частных компаний по сравнению с Национальным Банком небольшие, ведь они начали формировать свои портфели относительно недавно. Но именно это делает их более мобильными, а значит, дает возможность вкладчикам получать более высокую доходность портфелей. Главное, у казахстанцев есть возможность выбрать инвестиционную стратегию и распределить подходы, и тем самым повысить эффективность своего пенсионного портфеля.</w:t>
      </w:r>
    </w:p>
    <w:p w14:paraId="2A474F7F" w14:textId="77777777" w:rsidR="007729D8" w:rsidRPr="001267A7" w:rsidRDefault="007729D8" w:rsidP="007729D8">
      <w:r w:rsidRPr="001267A7">
        <w:t>Кроме того, у нас активно ведется работа над совершенствованием нормативной базы и повышением финансовой грамотности населения, чтобы каждый вкладчик мог осознанно и эффективно использовать свое право выбора инвестиционного управляющего.</w:t>
      </w:r>
    </w:p>
    <w:p w14:paraId="0CC18060" w14:textId="77777777" w:rsidR="007729D8" w:rsidRPr="001267A7" w:rsidRDefault="007729D8" w:rsidP="007729D8">
      <w:r w:rsidRPr="001267A7">
        <w:t>Цель всех этих мер – сделать пенсионную систему более устойчивой и обеспечить достойный уровень жизни будущих пенсионеров.</w:t>
      </w:r>
    </w:p>
    <w:p w14:paraId="7666900E" w14:textId="77777777" w:rsidR="007729D8" w:rsidRPr="001267A7" w:rsidRDefault="007729D8" w:rsidP="007729D8">
      <w:hyperlink r:id="rId44" w:history="1">
        <w:r w:rsidRPr="001267A7">
          <w:rPr>
            <w:rStyle w:val="a3"/>
          </w:rPr>
          <w:t>https://www.zakon.kz/finansy/6477838-pensionnye-aktivy-kak-imi-upravlyayut-i-pochemu-ne-stoit-boyatsya-vremennykh-kolebaniy.html</w:t>
        </w:r>
      </w:hyperlink>
      <w:r w:rsidRPr="001267A7">
        <w:t xml:space="preserve"> </w:t>
      </w:r>
    </w:p>
    <w:p w14:paraId="57B1573B" w14:textId="77777777" w:rsidR="007729D8" w:rsidRPr="001267A7" w:rsidRDefault="007729D8" w:rsidP="007729D8">
      <w:pPr>
        <w:pStyle w:val="2"/>
      </w:pPr>
      <w:bookmarkStart w:id="181" w:name="_Toc198618959"/>
      <w:r w:rsidRPr="001267A7">
        <w:t>inbusiness.kz, 19.05.2025, ЕНПФ показал "секретный" расчет, как накопить 50 млн тенге к пенсии</w:t>
      </w:r>
      <w:bookmarkEnd w:id="181"/>
    </w:p>
    <w:p w14:paraId="496C4CDF" w14:textId="77777777" w:rsidR="007729D8" w:rsidRPr="001267A7" w:rsidRDefault="007729D8" w:rsidP="00E10B1E">
      <w:pPr>
        <w:pStyle w:val="3"/>
      </w:pPr>
      <w:bookmarkStart w:id="182" w:name="_Toc198618960"/>
      <w:r w:rsidRPr="001267A7">
        <w:t>Цифры не врут: если перемножить среднюю зарплату на официальное трудоустройство и стаж, казахстанцы могут с лихвой удваивать размер пенсии.</w:t>
      </w:r>
      <w:bookmarkEnd w:id="182"/>
      <w:r w:rsidRPr="001267A7">
        <w:t xml:space="preserve"> </w:t>
      </w:r>
    </w:p>
    <w:p w14:paraId="5ACDEA11" w14:textId="77777777" w:rsidR="007729D8" w:rsidRPr="001267A7" w:rsidRDefault="007729D8" w:rsidP="007729D8">
      <w:r w:rsidRPr="001267A7">
        <w:t>Ранее в Едином накопительном пенсионном фонде (ЕНПФ) заявили: чтобы ежемесячно получать пенсию в размере 350 тыс. тенге, казахстанцу потребуется накопить порядка 50 млн тенге. Этот пример вызвал активные обсуждения — возможно ли реально достичь такого уровня и как рассчитывается эта сумма? Inbusiness.kz пошел дальше и решил на основе математических расчетов выяснить, насколько реален такой амбициозный сценарий? Для этого редакция направила запрос в ЕНПФ, и вот что из этого получилось.</w:t>
      </w:r>
    </w:p>
    <w:p w14:paraId="28996CF6" w14:textId="77777777" w:rsidR="007729D8" w:rsidRPr="001267A7" w:rsidRDefault="007729D8" w:rsidP="007729D8">
      <w:r w:rsidRPr="001267A7">
        <w:t>Три источника будущей пенсии</w:t>
      </w:r>
    </w:p>
    <w:p w14:paraId="20F5EA97" w14:textId="77777777" w:rsidR="007729D8" w:rsidRPr="001267A7" w:rsidRDefault="007729D8" w:rsidP="007729D8">
      <w:r w:rsidRPr="001267A7">
        <w:t>Будущая пенсия казахстанцев складывается из трех частей:</w:t>
      </w:r>
    </w:p>
    <w:p w14:paraId="153578CD" w14:textId="77777777" w:rsidR="007729D8" w:rsidRPr="001267A7" w:rsidRDefault="007729D8" w:rsidP="007729D8">
      <w:r w:rsidRPr="001267A7">
        <w:t>1) базовая (гарантируется государством);</w:t>
      </w:r>
    </w:p>
    <w:p w14:paraId="3F681110" w14:textId="77777777" w:rsidR="007729D8" w:rsidRPr="001267A7" w:rsidRDefault="007729D8" w:rsidP="007729D8">
      <w:r w:rsidRPr="001267A7">
        <w:t>2) солидарная (для тех, кто начал трудовую деятельность до 1998 года);</w:t>
      </w:r>
    </w:p>
    <w:p w14:paraId="16635C52" w14:textId="77777777" w:rsidR="007729D8" w:rsidRPr="001267A7" w:rsidRDefault="007729D8" w:rsidP="007729D8">
      <w:r w:rsidRPr="001267A7">
        <w:t>3) накопительная (ОПВ, ДПВ, ОППВ);</w:t>
      </w:r>
    </w:p>
    <w:p w14:paraId="7CD97088" w14:textId="77777777" w:rsidR="007729D8" w:rsidRPr="001267A7" w:rsidRDefault="007729D8" w:rsidP="007729D8">
      <w:r w:rsidRPr="001267A7">
        <w:t>4) условно-распределительная (ОПВР).</w:t>
      </w:r>
    </w:p>
    <w:p w14:paraId="3CBEFAD5" w14:textId="77777777" w:rsidR="007729D8" w:rsidRPr="001267A7" w:rsidRDefault="007729D8" w:rsidP="007729D8">
      <w:r w:rsidRPr="001267A7">
        <w:t xml:space="preserve">Показатель в 50 млн тенге в ЕНПФ назвали "иллюстративным примером". Для этого при расчетах учитывались продолжительность жизни после выхода на пенсию, предполагаемая доходность инвестиций, уровень инфляции и периодичность выплат. Каждый индивидуальный случай отличается в зависимости от размера зарплаты, </w:t>
      </w:r>
      <w:r w:rsidRPr="001267A7">
        <w:lastRenderedPageBreak/>
        <w:t>регулярности взносов и трудового стажа. Однако, если посчитать по-простому, оказывается, что накопления такого размера вполне реальны.</w:t>
      </w:r>
    </w:p>
    <w:p w14:paraId="05A986BD" w14:textId="77777777" w:rsidR="007729D8" w:rsidRPr="001267A7" w:rsidRDefault="007729D8" w:rsidP="007729D8">
      <w:r w:rsidRPr="001267A7">
        <w:t>Согласно расчетам ЕНПФ, предоставленным inbusiness.kz, гражданин, начавший работать в 23 года, со средней зарплатой 431,7 тыс тенге в 2025 году, при стабильных отчислениях 10% ОПВ в течение 40 лет и доходности, превышающей инфляцию на 2%, может накопить около 46,3 млн тенге. Это обеспечит ежемесячную пенсию около 250 тыс. тенге в ценах 2025 года.</w:t>
      </w:r>
    </w:p>
    <w:p w14:paraId="53A2AD77" w14:textId="77777777" w:rsidR="007729D8" w:rsidRPr="001267A7" w:rsidRDefault="007729D8" w:rsidP="007729D8">
      <w:r w:rsidRPr="001267A7">
        <w:t>Стоит заметить, что в реальности трудовой стаж может быть меньше в силу разных причин. Соответственно, если начать карьеру в 33 года при тех же условиях, к моменту выхода на пенсию накопится 28,6 млн тенге, что даст выплату около 150 тыс тенге.</w:t>
      </w:r>
    </w:p>
    <w:p w14:paraId="22E59FE6" w14:textId="77777777" w:rsidR="007729D8" w:rsidRPr="001267A7" w:rsidRDefault="007729D8" w:rsidP="007729D8">
      <w:r w:rsidRPr="001267A7">
        <w:t>В фонде подчеркивают, что без добровольных и профессиональных пенсионных взносов достичь комфортного уровня пенсионных накоплений сложно. Несмотря на налоговые льготы, добровольные взносы пока не получили массового распространения.</w:t>
      </w:r>
    </w:p>
    <w:p w14:paraId="5E340315" w14:textId="77777777" w:rsidR="007729D8" w:rsidRPr="001267A7" w:rsidRDefault="007729D8" w:rsidP="007729D8">
      <w:r w:rsidRPr="001267A7">
        <w:t>От чего реально зависит благосостояние в старости?</w:t>
      </w:r>
    </w:p>
    <w:p w14:paraId="0C67363E" w14:textId="77777777" w:rsidR="007729D8" w:rsidRPr="001267A7" w:rsidRDefault="007729D8" w:rsidP="007729D8">
      <w:r w:rsidRPr="001267A7">
        <w:t>Инфляция остается ключевым фактором, влияющим на покупательную способность пенсионных средств. Государство гарантирует сохранность обязательных пенсионных взносов с учетом инфляции: если доходность инвестиций окажется ниже инфляции, государство компенсирует разницу. Это отличает пенсионную систему от системы страхования депозитов.</w:t>
      </w:r>
    </w:p>
    <w:p w14:paraId="6E98946E" w14:textId="77777777" w:rsidR="007729D8" w:rsidRPr="001267A7" w:rsidRDefault="007729D8" w:rsidP="007729D8">
      <w:r w:rsidRPr="001267A7">
        <w:t>Поражает и то, что, несмотря на расчеты фонда, реальные цифры по накоплениям далеки от идеальных. Хотя объективности ради надо признать, что тренд в этом вопросе положительный.</w:t>
      </w:r>
    </w:p>
    <w:p w14:paraId="6E832ABB" w14:textId="77777777" w:rsidR="007729D8" w:rsidRPr="001267A7" w:rsidRDefault="007729D8" w:rsidP="007729D8">
      <w:r w:rsidRPr="001267A7">
        <w:t>По данным ЕНПФ, средняя ежемесячная выплата из фонда в апреле 2025 года составила 35,6 тыс. тенге, максимальная — более 900 тыс. тенге (другими словами, кто-то скопил на пенсионном счету в ЕНПФ свыше 100 млн тенге). Средний размер накоплений в 2024 году достиг 2,59 млн тенге, медианный — 1,59 млн тенге. Большинство пенсионеров имеют на счетах менее 5 млн тенге, но наблюдается рост доли граждан с накоплениями свыше 10 млн тенге.</w:t>
      </w:r>
    </w:p>
    <w:p w14:paraId="390B41FE" w14:textId="77777777" w:rsidR="007729D8" w:rsidRPr="001267A7" w:rsidRDefault="007729D8" w:rsidP="007729D8">
      <w:r w:rsidRPr="001267A7">
        <w:t>Объемы накоплений за счет ОПВ среди вкладчиков, вышедших на пенсию в 2022-2024 гг.</w:t>
      </w:r>
    </w:p>
    <w:tbl>
      <w:tblPr>
        <w:tblW w:w="949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285"/>
        <w:gridCol w:w="1065"/>
        <w:gridCol w:w="1005"/>
        <w:gridCol w:w="1005"/>
        <w:gridCol w:w="1125"/>
        <w:gridCol w:w="1020"/>
        <w:gridCol w:w="990"/>
      </w:tblGrid>
      <w:tr w:rsidR="007729D8" w:rsidRPr="001267A7" w14:paraId="3C6EB58C" w14:textId="77777777" w:rsidTr="007729D8">
        <w:trPr>
          <w:tblCellSpacing w:w="0" w:type="dxa"/>
        </w:trPr>
        <w:tc>
          <w:tcPr>
            <w:tcW w:w="3285" w:type="dxa"/>
            <w:tcBorders>
              <w:top w:val="outset" w:sz="6" w:space="0" w:color="auto"/>
              <w:left w:val="outset" w:sz="6" w:space="0" w:color="auto"/>
              <w:bottom w:val="outset" w:sz="6" w:space="0" w:color="auto"/>
              <w:right w:val="outset" w:sz="6" w:space="0" w:color="auto"/>
            </w:tcBorders>
            <w:vAlign w:val="center"/>
            <w:hideMark/>
          </w:tcPr>
          <w:p w14:paraId="7FEF8310" w14:textId="77777777" w:rsidR="007729D8" w:rsidRPr="001267A7" w:rsidRDefault="007729D8" w:rsidP="007729D8"/>
        </w:tc>
        <w:tc>
          <w:tcPr>
            <w:tcW w:w="6210" w:type="dxa"/>
            <w:gridSpan w:val="6"/>
            <w:tcBorders>
              <w:top w:val="outset" w:sz="6" w:space="0" w:color="auto"/>
              <w:left w:val="outset" w:sz="6" w:space="0" w:color="auto"/>
              <w:bottom w:val="outset" w:sz="6" w:space="0" w:color="auto"/>
              <w:right w:val="outset" w:sz="6" w:space="0" w:color="auto"/>
            </w:tcBorders>
            <w:vAlign w:val="center"/>
            <w:hideMark/>
          </w:tcPr>
          <w:p w14:paraId="2283FC31" w14:textId="77777777" w:rsidR="00AE20CB" w:rsidRPr="001267A7" w:rsidRDefault="007729D8" w:rsidP="007729D8">
            <w:r w:rsidRPr="001267A7">
              <w:rPr>
                <w:bCs/>
              </w:rPr>
              <w:t>Количество вкладчиков, выходящих на пенсию</w:t>
            </w:r>
          </w:p>
        </w:tc>
      </w:tr>
      <w:tr w:rsidR="007729D8" w:rsidRPr="001267A7" w14:paraId="0FC025D5" w14:textId="77777777" w:rsidTr="007729D8">
        <w:trPr>
          <w:tblCellSpacing w:w="0" w:type="dxa"/>
        </w:trPr>
        <w:tc>
          <w:tcPr>
            <w:tcW w:w="3285" w:type="dxa"/>
            <w:tcBorders>
              <w:top w:val="outset" w:sz="6" w:space="0" w:color="auto"/>
              <w:left w:val="outset" w:sz="6" w:space="0" w:color="auto"/>
              <w:bottom w:val="outset" w:sz="6" w:space="0" w:color="auto"/>
              <w:right w:val="outset" w:sz="6" w:space="0" w:color="auto"/>
            </w:tcBorders>
            <w:vAlign w:val="center"/>
            <w:hideMark/>
          </w:tcPr>
          <w:p w14:paraId="7E379C37" w14:textId="77777777" w:rsidR="00AE20CB" w:rsidRPr="001267A7" w:rsidRDefault="007729D8" w:rsidP="007729D8">
            <w:r w:rsidRPr="001267A7">
              <w:rPr>
                <w:bCs/>
              </w:rPr>
              <w:t xml:space="preserve">Пенсионные накопления </w:t>
            </w:r>
          </w:p>
        </w:tc>
        <w:tc>
          <w:tcPr>
            <w:tcW w:w="2070" w:type="dxa"/>
            <w:gridSpan w:val="2"/>
            <w:tcBorders>
              <w:top w:val="outset" w:sz="6" w:space="0" w:color="auto"/>
              <w:left w:val="outset" w:sz="6" w:space="0" w:color="auto"/>
              <w:bottom w:val="outset" w:sz="6" w:space="0" w:color="auto"/>
              <w:right w:val="outset" w:sz="6" w:space="0" w:color="auto"/>
            </w:tcBorders>
            <w:vAlign w:val="center"/>
            <w:hideMark/>
          </w:tcPr>
          <w:p w14:paraId="3670DA73" w14:textId="77777777" w:rsidR="00AE20CB" w:rsidRPr="001267A7" w:rsidRDefault="007729D8" w:rsidP="007729D8">
            <w:r w:rsidRPr="001267A7">
              <w:rPr>
                <w:bCs/>
              </w:rPr>
              <w:t>в 2022 г.</w:t>
            </w:r>
          </w:p>
        </w:tc>
        <w:tc>
          <w:tcPr>
            <w:tcW w:w="2130" w:type="dxa"/>
            <w:gridSpan w:val="2"/>
            <w:tcBorders>
              <w:top w:val="outset" w:sz="6" w:space="0" w:color="auto"/>
              <w:left w:val="outset" w:sz="6" w:space="0" w:color="auto"/>
              <w:bottom w:val="outset" w:sz="6" w:space="0" w:color="auto"/>
              <w:right w:val="outset" w:sz="6" w:space="0" w:color="auto"/>
            </w:tcBorders>
            <w:vAlign w:val="center"/>
            <w:hideMark/>
          </w:tcPr>
          <w:p w14:paraId="227939FB" w14:textId="77777777" w:rsidR="00AE20CB" w:rsidRPr="001267A7" w:rsidRDefault="007729D8" w:rsidP="007729D8">
            <w:r w:rsidRPr="001267A7">
              <w:rPr>
                <w:bCs/>
              </w:rPr>
              <w:t>в 2023 г.</w:t>
            </w:r>
          </w:p>
        </w:tc>
        <w:tc>
          <w:tcPr>
            <w:tcW w:w="2010" w:type="dxa"/>
            <w:gridSpan w:val="2"/>
            <w:tcBorders>
              <w:top w:val="outset" w:sz="6" w:space="0" w:color="auto"/>
              <w:left w:val="outset" w:sz="6" w:space="0" w:color="auto"/>
              <w:bottom w:val="outset" w:sz="6" w:space="0" w:color="auto"/>
              <w:right w:val="outset" w:sz="6" w:space="0" w:color="auto"/>
            </w:tcBorders>
            <w:vAlign w:val="center"/>
            <w:hideMark/>
          </w:tcPr>
          <w:p w14:paraId="1FB2219C" w14:textId="77777777" w:rsidR="00AE20CB" w:rsidRPr="001267A7" w:rsidRDefault="007729D8" w:rsidP="007729D8">
            <w:r w:rsidRPr="001267A7">
              <w:rPr>
                <w:b/>
                <w:bCs/>
              </w:rPr>
              <w:t>в 2024 г.</w:t>
            </w:r>
          </w:p>
        </w:tc>
      </w:tr>
      <w:tr w:rsidR="007729D8" w:rsidRPr="001267A7" w14:paraId="38AB5D86" w14:textId="77777777" w:rsidTr="007729D8">
        <w:trPr>
          <w:trHeight w:val="60"/>
          <w:tblCellSpacing w:w="0" w:type="dxa"/>
        </w:trPr>
        <w:tc>
          <w:tcPr>
            <w:tcW w:w="3285" w:type="dxa"/>
            <w:tcBorders>
              <w:top w:val="outset" w:sz="6" w:space="0" w:color="auto"/>
              <w:left w:val="outset" w:sz="6" w:space="0" w:color="auto"/>
              <w:bottom w:val="outset" w:sz="6" w:space="0" w:color="auto"/>
              <w:right w:val="outset" w:sz="6" w:space="0" w:color="auto"/>
            </w:tcBorders>
            <w:vAlign w:val="center"/>
            <w:hideMark/>
          </w:tcPr>
          <w:p w14:paraId="59780CC8" w14:textId="77777777" w:rsidR="00AE20CB" w:rsidRPr="001267A7" w:rsidRDefault="007729D8" w:rsidP="007729D8">
            <w:r w:rsidRPr="001267A7">
              <w:t>до 1 млн</w:t>
            </w:r>
          </w:p>
        </w:tc>
        <w:tc>
          <w:tcPr>
            <w:tcW w:w="1065" w:type="dxa"/>
            <w:tcBorders>
              <w:top w:val="outset" w:sz="6" w:space="0" w:color="auto"/>
              <w:left w:val="outset" w:sz="6" w:space="0" w:color="auto"/>
              <w:bottom w:val="outset" w:sz="6" w:space="0" w:color="auto"/>
              <w:right w:val="outset" w:sz="6" w:space="0" w:color="auto"/>
            </w:tcBorders>
            <w:vAlign w:val="center"/>
            <w:hideMark/>
          </w:tcPr>
          <w:p w14:paraId="6D8F3B88" w14:textId="77777777" w:rsidR="00AE20CB" w:rsidRPr="001267A7" w:rsidRDefault="007729D8" w:rsidP="007729D8">
            <w:r w:rsidRPr="001267A7">
              <w:t>67 453</w:t>
            </w:r>
          </w:p>
        </w:tc>
        <w:tc>
          <w:tcPr>
            <w:tcW w:w="1005" w:type="dxa"/>
            <w:tcBorders>
              <w:top w:val="outset" w:sz="6" w:space="0" w:color="auto"/>
              <w:left w:val="outset" w:sz="6" w:space="0" w:color="auto"/>
              <w:bottom w:val="outset" w:sz="6" w:space="0" w:color="auto"/>
              <w:right w:val="outset" w:sz="6" w:space="0" w:color="auto"/>
            </w:tcBorders>
            <w:vAlign w:val="center"/>
            <w:hideMark/>
          </w:tcPr>
          <w:p w14:paraId="2AEBB94F" w14:textId="77777777" w:rsidR="00AE20CB" w:rsidRPr="001267A7" w:rsidRDefault="007729D8" w:rsidP="007729D8">
            <w:r w:rsidRPr="001267A7">
              <w:t>43,9%</w:t>
            </w:r>
          </w:p>
        </w:tc>
        <w:tc>
          <w:tcPr>
            <w:tcW w:w="1005" w:type="dxa"/>
            <w:tcBorders>
              <w:top w:val="outset" w:sz="6" w:space="0" w:color="auto"/>
              <w:left w:val="outset" w:sz="6" w:space="0" w:color="auto"/>
              <w:bottom w:val="outset" w:sz="6" w:space="0" w:color="auto"/>
              <w:right w:val="outset" w:sz="6" w:space="0" w:color="auto"/>
            </w:tcBorders>
            <w:vAlign w:val="center"/>
            <w:hideMark/>
          </w:tcPr>
          <w:p w14:paraId="3030CA91" w14:textId="77777777" w:rsidR="00AE20CB" w:rsidRPr="001267A7" w:rsidRDefault="007729D8" w:rsidP="007729D8">
            <w:r w:rsidRPr="001267A7">
              <w:t>69 315</w:t>
            </w:r>
          </w:p>
        </w:tc>
        <w:tc>
          <w:tcPr>
            <w:tcW w:w="1125" w:type="dxa"/>
            <w:tcBorders>
              <w:top w:val="outset" w:sz="6" w:space="0" w:color="auto"/>
              <w:left w:val="outset" w:sz="6" w:space="0" w:color="auto"/>
              <w:bottom w:val="outset" w:sz="6" w:space="0" w:color="auto"/>
              <w:right w:val="outset" w:sz="6" w:space="0" w:color="auto"/>
            </w:tcBorders>
            <w:vAlign w:val="center"/>
            <w:hideMark/>
          </w:tcPr>
          <w:p w14:paraId="5AD7DF5C" w14:textId="77777777" w:rsidR="00AE20CB" w:rsidRPr="001267A7" w:rsidRDefault="007729D8" w:rsidP="007729D8">
            <w:r w:rsidRPr="001267A7">
              <w:t>39,3%</w:t>
            </w:r>
          </w:p>
        </w:tc>
        <w:tc>
          <w:tcPr>
            <w:tcW w:w="1020" w:type="dxa"/>
            <w:tcBorders>
              <w:top w:val="outset" w:sz="6" w:space="0" w:color="auto"/>
              <w:left w:val="outset" w:sz="6" w:space="0" w:color="auto"/>
              <w:bottom w:val="outset" w:sz="6" w:space="0" w:color="auto"/>
              <w:right w:val="outset" w:sz="6" w:space="0" w:color="auto"/>
            </w:tcBorders>
            <w:vAlign w:val="center"/>
            <w:hideMark/>
          </w:tcPr>
          <w:p w14:paraId="26A0BF97" w14:textId="77777777" w:rsidR="00AE20CB" w:rsidRPr="001267A7" w:rsidRDefault="007729D8" w:rsidP="007729D8">
            <w:r w:rsidRPr="001267A7">
              <w:t>74 112</w:t>
            </w:r>
          </w:p>
        </w:tc>
        <w:tc>
          <w:tcPr>
            <w:tcW w:w="990" w:type="dxa"/>
            <w:tcBorders>
              <w:top w:val="outset" w:sz="6" w:space="0" w:color="auto"/>
              <w:left w:val="outset" w:sz="6" w:space="0" w:color="auto"/>
              <w:bottom w:val="outset" w:sz="6" w:space="0" w:color="auto"/>
              <w:right w:val="outset" w:sz="6" w:space="0" w:color="auto"/>
            </w:tcBorders>
            <w:vAlign w:val="center"/>
            <w:hideMark/>
          </w:tcPr>
          <w:p w14:paraId="7FE2BE4C" w14:textId="77777777" w:rsidR="00AE20CB" w:rsidRPr="001267A7" w:rsidRDefault="007729D8" w:rsidP="007729D8">
            <w:r w:rsidRPr="001267A7">
              <w:t>38,1%</w:t>
            </w:r>
          </w:p>
        </w:tc>
      </w:tr>
      <w:tr w:rsidR="007729D8" w:rsidRPr="001267A7" w14:paraId="5BFC4651" w14:textId="77777777" w:rsidTr="007729D8">
        <w:trPr>
          <w:trHeight w:val="60"/>
          <w:tblCellSpacing w:w="0" w:type="dxa"/>
        </w:trPr>
        <w:tc>
          <w:tcPr>
            <w:tcW w:w="3285" w:type="dxa"/>
            <w:tcBorders>
              <w:top w:val="outset" w:sz="6" w:space="0" w:color="auto"/>
              <w:left w:val="outset" w:sz="6" w:space="0" w:color="auto"/>
              <w:bottom w:val="outset" w:sz="6" w:space="0" w:color="auto"/>
              <w:right w:val="outset" w:sz="6" w:space="0" w:color="auto"/>
            </w:tcBorders>
            <w:vAlign w:val="center"/>
            <w:hideMark/>
          </w:tcPr>
          <w:p w14:paraId="212FB785" w14:textId="77777777" w:rsidR="00AE20CB" w:rsidRPr="001267A7" w:rsidRDefault="007729D8" w:rsidP="007729D8">
            <w:r w:rsidRPr="001267A7">
              <w:t>от 1 до 5 млн</w:t>
            </w:r>
          </w:p>
        </w:tc>
        <w:tc>
          <w:tcPr>
            <w:tcW w:w="1065" w:type="dxa"/>
            <w:tcBorders>
              <w:top w:val="outset" w:sz="6" w:space="0" w:color="auto"/>
              <w:left w:val="outset" w:sz="6" w:space="0" w:color="auto"/>
              <w:bottom w:val="outset" w:sz="6" w:space="0" w:color="auto"/>
              <w:right w:val="outset" w:sz="6" w:space="0" w:color="auto"/>
            </w:tcBorders>
            <w:vAlign w:val="center"/>
            <w:hideMark/>
          </w:tcPr>
          <w:p w14:paraId="3EA03AFD" w14:textId="77777777" w:rsidR="00AE20CB" w:rsidRPr="001267A7" w:rsidRDefault="007729D8" w:rsidP="007729D8">
            <w:r w:rsidRPr="001267A7">
              <w:t>73 443</w:t>
            </w:r>
          </w:p>
        </w:tc>
        <w:tc>
          <w:tcPr>
            <w:tcW w:w="1005" w:type="dxa"/>
            <w:tcBorders>
              <w:top w:val="outset" w:sz="6" w:space="0" w:color="auto"/>
              <w:left w:val="outset" w:sz="6" w:space="0" w:color="auto"/>
              <w:bottom w:val="outset" w:sz="6" w:space="0" w:color="auto"/>
              <w:right w:val="outset" w:sz="6" w:space="0" w:color="auto"/>
            </w:tcBorders>
            <w:vAlign w:val="center"/>
            <w:hideMark/>
          </w:tcPr>
          <w:p w14:paraId="2403D54D" w14:textId="77777777" w:rsidR="00AE20CB" w:rsidRPr="001267A7" w:rsidRDefault="007729D8" w:rsidP="007729D8">
            <w:r w:rsidRPr="001267A7">
              <w:t>47,8%</w:t>
            </w:r>
          </w:p>
        </w:tc>
        <w:tc>
          <w:tcPr>
            <w:tcW w:w="1005" w:type="dxa"/>
            <w:tcBorders>
              <w:top w:val="outset" w:sz="6" w:space="0" w:color="auto"/>
              <w:left w:val="outset" w:sz="6" w:space="0" w:color="auto"/>
              <w:bottom w:val="outset" w:sz="6" w:space="0" w:color="auto"/>
              <w:right w:val="outset" w:sz="6" w:space="0" w:color="auto"/>
            </w:tcBorders>
            <w:vAlign w:val="center"/>
            <w:hideMark/>
          </w:tcPr>
          <w:p w14:paraId="421AB933" w14:textId="77777777" w:rsidR="00AE20CB" w:rsidRPr="001267A7" w:rsidRDefault="007729D8" w:rsidP="007729D8">
            <w:r w:rsidRPr="001267A7">
              <w:t>83 326</w:t>
            </w:r>
          </w:p>
        </w:tc>
        <w:tc>
          <w:tcPr>
            <w:tcW w:w="1125" w:type="dxa"/>
            <w:tcBorders>
              <w:top w:val="outset" w:sz="6" w:space="0" w:color="auto"/>
              <w:left w:val="outset" w:sz="6" w:space="0" w:color="auto"/>
              <w:bottom w:val="outset" w:sz="6" w:space="0" w:color="auto"/>
              <w:right w:val="outset" w:sz="6" w:space="0" w:color="auto"/>
            </w:tcBorders>
            <w:vAlign w:val="center"/>
            <w:hideMark/>
          </w:tcPr>
          <w:p w14:paraId="163FA548" w14:textId="77777777" w:rsidR="00AE20CB" w:rsidRPr="001267A7" w:rsidRDefault="007729D8" w:rsidP="007729D8">
            <w:r w:rsidRPr="001267A7">
              <w:t>47,2%</w:t>
            </w:r>
          </w:p>
        </w:tc>
        <w:tc>
          <w:tcPr>
            <w:tcW w:w="1020" w:type="dxa"/>
            <w:tcBorders>
              <w:top w:val="outset" w:sz="6" w:space="0" w:color="auto"/>
              <w:left w:val="outset" w:sz="6" w:space="0" w:color="auto"/>
              <w:bottom w:val="outset" w:sz="6" w:space="0" w:color="auto"/>
              <w:right w:val="outset" w:sz="6" w:space="0" w:color="auto"/>
            </w:tcBorders>
            <w:vAlign w:val="center"/>
            <w:hideMark/>
          </w:tcPr>
          <w:p w14:paraId="22B48723" w14:textId="77777777" w:rsidR="00AE20CB" w:rsidRPr="001267A7" w:rsidRDefault="007729D8" w:rsidP="007729D8">
            <w:r w:rsidRPr="001267A7">
              <w:t>85 118</w:t>
            </w:r>
          </w:p>
        </w:tc>
        <w:tc>
          <w:tcPr>
            <w:tcW w:w="990" w:type="dxa"/>
            <w:tcBorders>
              <w:top w:val="outset" w:sz="6" w:space="0" w:color="auto"/>
              <w:left w:val="outset" w:sz="6" w:space="0" w:color="auto"/>
              <w:bottom w:val="outset" w:sz="6" w:space="0" w:color="auto"/>
              <w:right w:val="outset" w:sz="6" w:space="0" w:color="auto"/>
            </w:tcBorders>
            <w:vAlign w:val="center"/>
            <w:hideMark/>
          </w:tcPr>
          <w:p w14:paraId="02B1043D" w14:textId="77777777" w:rsidR="00AE20CB" w:rsidRPr="001267A7" w:rsidRDefault="007729D8" w:rsidP="007729D8">
            <w:r w:rsidRPr="001267A7">
              <w:t>43,7%</w:t>
            </w:r>
          </w:p>
        </w:tc>
      </w:tr>
      <w:tr w:rsidR="007729D8" w:rsidRPr="001267A7" w14:paraId="50B7D49D" w14:textId="77777777" w:rsidTr="007729D8">
        <w:trPr>
          <w:trHeight w:val="60"/>
          <w:tblCellSpacing w:w="0" w:type="dxa"/>
        </w:trPr>
        <w:tc>
          <w:tcPr>
            <w:tcW w:w="3285" w:type="dxa"/>
            <w:tcBorders>
              <w:top w:val="outset" w:sz="6" w:space="0" w:color="auto"/>
              <w:left w:val="outset" w:sz="6" w:space="0" w:color="auto"/>
              <w:bottom w:val="outset" w:sz="6" w:space="0" w:color="auto"/>
              <w:right w:val="outset" w:sz="6" w:space="0" w:color="auto"/>
            </w:tcBorders>
            <w:vAlign w:val="center"/>
            <w:hideMark/>
          </w:tcPr>
          <w:p w14:paraId="78226711" w14:textId="77777777" w:rsidR="00AE20CB" w:rsidRPr="001267A7" w:rsidRDefault="007729D8" w:rsidP="007729D8">
            <w:r w:rsidRPr="001267A7">
              <w:t>от 5 до 10 млн</w:t>
            </w:r>
          </w:p>
        </w:tc>
        <w:tc>
          <w:tcPr>
            <w:tcW w:w="1065" w:type="dxa"/>
            <w:tcBorders>
              <w:top w:val="outset" w:sz="6" w:space="0" w:color="auto"/>
              <w:left w:val="outset" w:sz="6" w:space="0" w:color="auto"/>
              <w:bottom w:val="outset" w:sz="6" w:space="0" w:color="auto"/>
              <w:right w:val="outset" w:sz="6" w:space="0" w:color="auto"/>
            </w:tcBorders>
            <w:vAlign w:val="center"/>
            <w:hideMark/>
          </w:tcPr>
          <w:p w14:paraId="5AD8FF9E" w14:textId="77777777" w:rsidR="00AE20CB" w:rsidRPr="001267A7" w:rsidRDefault="007729D8" w:rsidP="007729D8">
            <w:r w:rsidRPr="001267A7">
              <w:t>11 636</w:t>
            </w:r>
          </w:p>
        </w:tc>
        <w:tc>
          <w:tcPr>
            <w:tcW w:w="1005" w:type="dxa"/>
            <w:tcBorders>
              <w:top w:val="outset" w:sz="6" w:space="0" w:color="auto"/>
              <w:left w:val="outset" w:sz="6" w:space="0" w:color="auto"/>
              <w:bottom w:val="outset" w:sz="6" w:space="0" w:color="auto"/>
              <w:right w:val="outset" w:sz="6" w:space="0" w:color="auto"/>
            </w:tcBorders>
            <w:vAlign w:val="center"/>
            <w:hideMark/>
          </w:tcPr>
          <w:p w14:paraId="51D347C2" w14:textId="77777777" w:rsidR="00AE20CB" w:rsidRPr="001267A7" w:rsidRDefault="007729D8" w:rsidP="007729D8">
            <w:r w:rsidRPr="001267A7">
              <w:t>7,6%</w:t>
            </w:r>
          </w:p>
        </w:tc>
        <w:tc>
          <w:tcPr>
            <w:tcW w:w="1005" w:type="dxa"/>
            <w:tcBorders>
              <w:top w:val="outset" w:sz="6" w:space="0" w:color="auto"/>
              <w:left w:val="outset" w:sz="6" w:space="0" w:color="auto"/>
              <w:bottom w:val="outset" w:sz="6" w:space="0" w:color="auto"/>
              <w:right w:val="outset" w:sz="6" w:space="0" w:color="auto"/>
            </w:tcBorders>
            <w:vAlign w:val="center"/>
            <w:hideMark/>
          </w:tcPr>
          <w:p w14:paraId="3174C4E1" w14:textId="77777777" w:rsidR="00AE20CB" w:rsidRPr="001267A7" w:rsidRDefault="007729D8" w:rsidP="007729D8">
            <w:r w:rsidRPr="001267A7">
              <w:t>22 127</w:t>
            </w:r>
          </w:p>
        </w:tc>
        <w:tc>
          <w:tcPr>
            <w:tcW w:w="1125" w:type="dxa"/>
            <w:tcBorders>
              <w:top w:val="outset" w:sz="6" w:space="0" w:color="auto"/>
              <w:left w:val="outset" w:sz="6" w:space="0" w:color="auto"/>
              <w:bottom w:val="outset" w:sz="6" w:space="0" w:color="auto"/>
              <w:right w:val="outset" w:sz="6" w:space="0" w:color="auto"/>
            </w:tcBorders>
            <w:vAlign w:val="center"/>
            <w:hideMark/>
          </w:tcPr>
          <w:p w14:paraId="67B1B8B0" w14:textId="77777777" w:rsidR="00AE20CB" w:rsidRPr="001267A7" w:rsidRDefault="007729D8" w:rsidP="007729D8">
            <w:r w:rsidRPr="001267A7">
              <w:t>12,6%</w:t>
            </w:r>
          </w:p>
        </w:tc>
        <w:tc>
          <w:tcPr>
            <w:tcW w:w="1020" w:type="dxa"/>
            <w:tcBorders>
              <w:top w:val="outset" w:sz="6" w:space="0" w:color="auto"/>
              <w:left w:val="outset" w:sz="6" w:space="0" w:color="auto"/>
              <w:bottom w:val="outset" w:sz="6" w:space="0" w:color="auto"/>
              <w:right w:val="outset" w:sz="6" w:space="0" w:color="auto"/>
            </w:tcBorders>
            <w:vAlign w:val="center"/>
            <w:hideMark/>
          </w:tcPr>
          <w:p w14:paraId="280726AF" w14:textId="77777777" w:rsidR="00AE20CB" w:rsidRPr="001267A7" w:rsidRDefault="007729D8" w:rsidP="007729D8">
            <w:r w:rsidRPr="001267A7">
              <w:t>31 667</w:t>
            </w:r>
          </w:p>
        </w:tc>
        <w:tc>
          <w:tcPr>
            <w:tcW w:w="990" w:type="dxa"/>
            <w:tcBorders>
              <w:top w:val="outset" w:sz="6" w:space="0" w:color="auto"/>
              <w:left w:val="outset" w:sz="6" w:space="0" w:color="auto"/>
              <w:bottom w:val="outset" w:sz="6" w:space="0" w:color="auto"/>
              <w:right w:val="outset" w:sz="6" w:space="0" w:color="auto"/>
            </w:tcBorders>
            <w:vAlign w:val="center"/>
            <w:hideMark/>
          </w:tcPr>
          <w:p w14:paraId="3563CCE2" w14:textId="77777777" w:rsidR="00AE20CB" w:rsidRPr="001267A7" w:rsidRDefault="007729D8" w:rsidP="007729D8">
            <w:r w:rsidRPr="001267A7">
              <w:t>16,3%</w:t>
            </w:r>
          </w:p>
        </w:tc>
      </w:tr>
      <w:tr w:rsidR="007729D8" w:rsidRPr="001267A7" w14:paraId="05877B2D" w14:textId="77777777" w:rsidTr="007729D8">
        <w:trPr>
          <w:trHeight w:val="60"/>
          <w:tblCellSpacing w:w="0" w:type="dxa"/>
        </w:trPr>
        <w:tc>
          <w:tcPr>
            <w:tcW w:w="3285" w:type="dxa"/>
            <w:tcBorders>
              <w:top w:val="outset" w:sz="6" w:space="0" w:color="auto"/>
              <w:left w:val="outset" w:sz="6" w:space="0" w:color="auto"/>
              <w:bottom w:val="outset" w:sz="6" w:space="0" w:color="auto"/>
              <w:right w:val="outset" w:sz="6" w:space="0" w:color="auto"/>
            </w:tcBorders>
            <w:vAlign w:val="center"/>
            <w:hideMark/>
          </w:tcPr>
          <w:p w14:paraId="3764750F" w14:textId="77777777" w:rsidR="00AE20CB" w:rsidRPr="001267A7" w:rsidRDefault="007729D8" w:rsidP="007729D8">
            <w:r w:rsidRPr="001267A7">
              <w:t>свыше 10 млн</w:t>
            </w:r>
          </w:p>
        </w:tc>
        <w:tc>
          <w:tcPr>
            <w:tcW w:w="1065" w:type="dxa"/>
            <w:tcBorders>
              <w:top w:val="outset" w:sz="6" w:space="0" w:color="auto"/>
              <w:left w:val="outset" w:sz="6" w:space="0" w:color="auto"/>
              <w:bottom w:val="outset" w:sz="6" w:space="0" w:color="auto"/>
              <w:right w:val="outset" w:sz="6" w:space="0" w:color="auto"/>
            </w:tcBorders>
            <w:vAlign w:val="center"/>
            <w:hideMark/>
          </w:tcPr>
          <w:p w14:paraId="23EB9B1D" w14:textId="77777777" w:rsidR="00AE20CB" w:rsidRPr="001267A7" w:rsidRDefault="007729D8" w:rsidP="007729D8">
            <w:r w:rsidRPr="001267A7">
              <w:t>1 049</w:t>
            </w:r>
          </w:p>
        </w:tc>
        <w:tc>
          <w:tcPr>
            <w:tcW w:w="1005" w:type="dxa"/>
            <w:tcBorders>
              <w:top w:val="outset" w:sz="6" w:space="0" w:color="auto"/>
              <w:left w:val="outset" w:sz="6" w:space="0" w:color="auto"/>
              <w:bottom w:val="outset" w:sz="6" w:space="0" w:color="auto"/>
              <w:right w:val="outset" w:sz="6" w:space="0" w:color="auto"/>
            </w:tcBorders>
            <w:vAlign w:val="center"/>
            <w:hideMark/>
          </w:tcPr>
          <w:p w14:paraId="20AA7922" w14:textId="77777777" w:rsidR="00AE20CB" w:rsidRPr="001267A7" w:rsidRDefault="007729D8" w:rsidP="007729D8">
            <w:r w:rsidRPr="001267A7">
              <w:t>0,7%</w:t>
            </w:r>
          </w:p>
        </w:tc>
        <w:tc>
          <w:tcPr>
            <w:tcW w:w="1005" w:type="dxa"/>
            <w:tcBorders>
              <w:top w:val="outset" w:sz="6" w:space="0" w:color="auto"/>
              <w:left w:val="outset" w:sz="6" w:space="0" w:color="auto"/>
              <w:bottom w:val="outset" w:sz="6" w:space="0" w:color="auto"/>
              <w:right w:val="outset" w:sz="6" w:space="0" w:color="auto"/>
            </w:tcBorders>
            <w:vAlign w:val="center"/>
            <w:hideMark/>
          </w:tcPr>
          <w:p w14:paraId="46F5DFC6" w14:textId="77777777" w:rsidR="00AE20CB" w:rsidRPr="001267A7" w:rsidRDefault="007729D8" w:rsidP="007729D8">
            <w:r w:rsidRPr="001267A7">
              <w:t>1 633</w:t>
            </w:r>
          </w:p>
        </w:tc>
        <w:tc>
          <w:tcPr>
            <w:tcW w:w="1125" w:type="dxa"/>
            <w:tcBorders>
              <w:top w:val="outset" w:sz="6" w:space="0" w:color="auto"/>
              <w:left w:val="outset" w:sz="6" w:space="0" w:color="auto"/>
              <w:bottom w:val="outset" w:sz="6" w:space="0" w:color="auto"/>
              <w:right w:val="outset" w:sz="6" w:space="0" w:color="auto"/>
            </w:tcBorders>
            <w:vAlign w:val="center"/>
            <w:hideMark/>
          </w:tcPr>
          <w:p w14:paraId="61968146" w14:textId="77777777" w:rsidR="00AE20CB" w:rsidRPr="001267A7" w:rsidRDefault="007729D8" w:rsidP="007729D8">
            <w:r w:rsidRPr="001267A7">
              <w:t>0,9%</w:t>
            </w:r>
          </w:p>
        </w:tc>
        <w:tc>
          <w:tcPr>
            <w:tcW w:w="1020" w:type="dxa"/>
            <w:tcBorders>
              <w:top w:val="outset" w:sz="6" w:space="0" w:color="auto"/>
              <w:left w:val="outset" w:sz="6" w:space="0" w:color="auto"/>
              <w:bottom w:val="outset" w:sz="6" w:space="0" w:color="auto"/>
              <w:right w:val="outset" w:sz="6" w:space="0" w:color="auto"/>
            </w:tcBorders>
            <w:vAlign w:val="center"/>
            <w:hideMark/>
          </w:tcPr>
          <w:p w14:paraId="65EA4C2B" w14:textId="77777777" w:rsidR="00AE20CB" w:rsidRPr="001267A7" w:rsidRDefault="007729D8" w:rsidP="007729D8">
            <w:r w:rsidRPr="001267A7">
              <w:t>3 814</w:t>
            </w:r>
          </w:p>
        </w:tc>
        <w:tc>
          <w:tcPr>
            <w:tcW w:w="990" w:type="dxa"/>
            <w:tcBorders>
              <w:top w:val="outset" w:sz="6" w:space="0" w:color="auto"/>
              <w:left w:val="outset" w:sz="6" w:space="0" w:color="auto"/>
              <w:bottom w:val="outset" w:sz="6" w:space="0" w:color="auto"/>
              <w:right w:val="outset" w:sz="6" w:space="0" w:color="auto"/>
            </w:tcBorders>
            <w:vAlign w:val="center"/>
            <w:hideMark/>
          </w:tcPr>
          <w:p w14:paraId="6879037B" w14:textId="77777777" w:rsidR="00AE20CB" w:rsidRPr="001267A7" w:rsidRDefault="007729D8" w:rsidP="007729D8">
            <w:r w:rsidRPr="001267A7">
              <w:t>1,9%</w:t>
            </w:r>
          </w:p>
        </w:tc>
      </w:tr>
      <w:tr w:rsidR="007729D8" w:rsidRPr="001267A7" w14:paraId="2677B490" w14:textId="77777777" w:rsidTr="007729D8">
        <w:trPr>
          <w:tblCellSpacing w:w="0" w:type="dxa"/>
        </w:trPr>
        <w:tc>
          <w:tcPr>
            <w:tcW w:w="3285" w:type="dxa"/>
            <w:tcBorders>
              <w:top w:val="outset" w:sz="6" w:space="0" w:color="auto"/>
              <w:left w:val="outset" w:sz="6" w:space="0" w:color="auto"/>
              <w:bottom w:val="outset" w:sz="6" w:space="0" w:color="auto"/>
              <w:right w:val="outset" w:sz="6" w:space="0" w:color="auto"/>
            </w:tcBorders>
            <w:vAlign w:val="center"/>
            <w:hideMark/>
          </w:tcPr>
          <w:p w14:paraId="398D19A2" w14:textId="77777777" w:rsidR="00AE20CB" w:rsidRPr="001267A7" w:rsidRDefault="007729D8" w:rsidP="007729D8">
            <w:r w:rsidRPr="001267A7">
              <w:rPr>
                <w:bCs/>
              </w:rPr>
              <w:t>Всего</w:t>
            </w:r>
          </w:p>
        </w:tc>
        <w:tc>
          <w:tcPr>
            <w:tcW w:w="1065" w:type="dxa"/>
            <w:tcBorders>
              <w:top w:val="outset" w:sz="6" w:space="0" w:color="auto"/>
              <w:left w:val="outset" w:sz="6" w:space="0" w:color="auto"/>
              <w:bottom w:val="outset" w:sz="6" w:space="0" w:color="auto"/>
              <w:right w:val="outset" w:sz="6" w:space="0" w:color="auto"/>
            </w:tcBorders>
            <w:vAlign w:val="center"/>
            <w:hideMark/>
          </w:tcPr>
          <w:p w14:paraId="751D1CBD" w14:textId="77777777" w:rsidR="00AE20CB" w:rsidRPr="001267A7" w:rsidRDefault="007729D8" w:rsidP="007729D8">
            <w:r w:rsidRPr="001267A7">
              <w:t>153 581</w:t>
            </w:r>
          </w:p>
        </w:tc>
        <w:tc>
          <w:tcPr>
            <w:tcW w:w="1005" w:type="dxa"/>
            <w:tcBorders>
              <w:top w:val="outset" w:sz="6" w:space="0" w:color="auto"/>
              <w:left w:val="outset" w:sz="6" w:space="0" w:color="auto"/>
              <w:bottom w:val="outset" w:sz="6" w:space="0" w:color="auto"/>
              <w:right w:val="outset" w:sz="6" w:space="0" w:color="auto"/>
            </w:tcBorders>
            <w:vAlign w:val="center"/>
            <w:hideMark/>
          </w:tcPr>
          <w:p w14:paraId="78E46409" w14:textId="77777777" w:rsidR="00AE20CB" w:rsidRPr="001267A7" w:rsidRDefault="007729D8" w:rsidP="007729D8">
            <w:r w:rsidRPr="001267A7">
              <w:t>100%</w:t>
            </w:r>
          </w:p>
        </w:tc>
        <w:tc>
          <w:tcPr>
            <w:tcW w:w="1005" w:type="dxa"/>
            <w:tcBorders>
              <w:top w:val="outset" w:sz="6" w:space="0" w:color="auto"/>
              <w:left w:val="outset" w:sz="6" w:space="0" w:color="auto"/>
              <w:bottom w:val="outset" w:sz="6" w:space="0" w:color="auto"/>
              <w:right w:val="outset" w:sz="6" w:space="0" w:color="auto"/>
            </w:tcBorders>
            <w:vAlign w:val="center"/>
            <w:hideMark/>
          </w:tcPr>
          <w:p w14:paraId="6CDEA454" w14:textId="77777777" w:rsidR="00AE20CB" w:rsidRPr="001267A7" w:rsidRDefault="007729D8" w:rsidP="007729D8">
            <w:r w:rsidRPr="001267A7">
              <w:t>176 401</w:t>
            </w:r>
          </w:p>
        </w:tc>
        <w:tc>
          <w:tcPr>
            <w:tcW w:w="1125" w:type="dxa"/>
            <w:tcBorders>
              <w:top w:val="outset" w:sz="6" w:space="0" w:color="auto"/>
              <w:left w:val="outset" w:sz="6" w:space="0" w:color="auto"/>
              <w:bottom w:val="outset" w:sz="6" w:space="0" w:color="auto"/>
              <w:right w:val="outset" w:sz="6" w:space="0" w:color="auto"/>
            </w:tcBorders>
            <w:vAlign w:val="center"/>
            <w:hideMark/>
          </w:tcPr>
          <w:p w14:paraId="34531C7C" w14:textId="77777777" w:rsidR="00AE20CB" w:rsidRPr="001267A7" w:rsidRDefault="007729D8" w:rsidP="007729D8">
            <w:r w:rsidRPr="001267A7">
              <w:t>100%</w:t>
            </w:r>
          </w:p>
        </w:tc>
        <w:tc>
          <w:tcPr>
            <w:tcW w:w="1020" w:type="dxa"/>
            <w:tcBorders>
              <w:top w:val="outset" w:sz="6" w:space="0" w:color="auto"/>
              <w:left w:val="outset" w:sz="6" w:space="0" w:color="auto"/>
              <w:bottom w:val="outset" w:sz="6" w:space="0" w:color="auto"/>
              <w:right w:val="outset" w:sz="6" w:space="0" w:color="auto"/>
            </w:tcBorders>
            <w:vAlign w:val="center"/>
            <w:hideMark/>
          </w:tcPr>
          <w:p w14:paraId="73787F29" w14:textId="77777777" w:rsidR="00AE20CB" w:rsidRPr="001267A7" w:rsidRDefault="007729D8" w:rsidP="007729D8">
            <w:r w:rsidRPr="001267A7">
              <w:t>194711</w:t>
            </w:r>
          </w:p>
        </w:tc>
        <w:tc>
          <w:tcPr>
            <w:tcW w:w="990" w:type="dxa"/>
            <w:tcBorders>
              <w:top w:val="outset" w:sz="6" w:space="0" w:color="auto"/>
              <w:left w:val="outset" w:sz="6" w:space="0" w:color="auto"/>
              <w:bottom w:val="outset" w:sz="6" w:space="0" w:color="auto"/>
              <w:right w:val="outset" w:sz="6" w:space="0" w:color="auto"/>
            </w:tcBorders>
            <w:vAlign w:val="center"/>
            <w:hideMark/>
          </w:tcPr>
          <w:p w14:paraId="70B337FC" w14:textId="77777777" w:rsidR="00AE20CB" w:rsidRPr="001267A7" w:rsidRDefault="007729D8" w:rsidP="007729D8">
            <w:r w:rsidRPr="001267A7">
              <w:t>100%</w:t>
            </w:r>
          </w:p>
        </w:tc>
      </w:tr>
    </w:tbl>
    <w:p w14:paraId="5956AF15" w14:textId="77777777" w:rsidR="007729D8" w:rsidRPr="001267A7" w:rsidRDefault="007729D8" w:rsidP="007729D8">
      <w:r w:rsidRPr="001267A7">
        <w:t>Источник: Единый накопительный пенсионный фонд, 2025 г.</w:t>
      </w:r>
    </w:p>
    <w:p w14:paraId="6D87B05D" w14:textId="77777777" w:rsidR="007729D8" w:rsidRPr="001267A7" w:rsidRDefault="007729D8" w:rsidP="007729D8">
      <w:r w:rsidRPr="001267A7">
        <w:t>С какими накоплениями выходили на пенсию казахстанцы в 2024 году:</w:t>
      </w:r>
    </w:p>
    <w:p w14:paraId="0985C3AB" w14:textId="77777777" w:rsidR="007729D8" w:rsidRPr="001267A7" w:rsidRDefault="007729D8" w:rsidP="007729D8">
      <w:r w:rsidRPr="001267A7">
        <w:lastRenderedPageBreak/>
        <w:t xml:space="preserve">    до 1 млн тенге: 74 112 человек (38,1%);</w:t>
      </w:r>
    </w:p>
    <w:p w14:paraId="6BB02F8A" w14:textId="77777777" w:rsidR="007729D8" w:rsidRPr="001267A7" w:rsidRDefault="007729D8" w:rsidP="007729D8">
      <w:r w:rsidRPr="001267A7">
        <w:t xml:space="preserve">    от 1 млн до 5 млн тенге: 85 118 человек (43,7%);</w:t>
      </w:r>
    </w:p>
    <w:p w14:paraId="611CB8B7" w14:textId="77777777" w:rsidR="007729D8" w:rsidRPr="001267A7" w:rsidRDefault="007729D8" w:rsidP="007729D8">
      <w:r w:rsidRPr="001267A7">
        <w:t xml:space="preserve">    от 5 млн до 10 млн тенге: 31 667 человек (16,3%);</w:t>
      </w:r>
    </w:p>
    <w:p w14:paraId="25E740CA" w14:textId="77777777" w:rsidR="007729D8" w:rsidRPr="001267A7" w:rsidRDefault="007729D8" w:rsidP="007729D8">
      <w:r w:rsidRPr="001267A7">
        <w:t xml:space="preserve">    свыше 10 млн тенге: 3814 человек (1,9%).</w:t>
      </w:r>
    </w:p>
    <w:p w14:paraId="33AD45F9" w14:textId="77777777" w:rsidR="007729D8" w:rsidRPr="001267A7" w:rsidRDefault="007729D8" w:rsidP="007729D8">
      <w:r w:rsidRPr="001267A7">
        <w:t>На 1 апреля 2025 года доля накопленного инвестиционного дохода в пенсионных активах составила около 40%. В 2024 году доходность активов ЕНПФ под управлением Нацбанка составила 17,84%, что превышает уровень доходности по банковским депозитам (13,98%).</w:t>
      </w:r>
    </w:p>
    <w:p w14:paraId="19622AF7" w14:textId="77777777" w:rsidR="007729D8" w:rsidRPr="001267A7" w:rsidRDefault="007729D8" w:rsidP="007729D8">
      <w:r w:rsidRPr="001267A7">
        <w:t>Дополнительным фактором стало частичное изъятие пенсионных средств с 2021 года для решения жилищных и медицинских задач. Эта мера, несмотря на временное снижение активов, помогла множеству граждан.</w:t>
      </w:r>
    </w:p>
    <w:p w14:paraId="66170079" w14:textId="77777777" w:rsidR="007729D8" w:rsidRPr="001267A7" w:rsidRDefault="007729D8" w:rsidP="007729D8">
      <w:r w:rsidRPr="001267A7">
        <w:t>Накопление 50 млн тенге — задача сложная, но достижимая при относительно невысокой и стабильной зарплате, дисциплине в отчислениях и дополнительном участии в системе через ДПВ и ОППВ. Однако в реальности, как показывает статистика, более 38% пенсионеров в 2024 году имели менее 1 млн тенге на счету. Это отражает неравномерность возможностей и необходимость раннего планирования.</w:t>
      </w:r>
    </w:p>
    <w:p w14:paraId="1B7A0B62" w14:textId="77777777" w:rsidR="007729D8" w:rsidRPr="001267A7" w:rsidRDefault="007729D8" w:rsidP="007729D8">
      <w:r w:rsidRPr="001267A7">
        <w:t>Эксперты рекомендуют: начинать копить как можно раньше, отслеживать состояние пенсионного счета и использовать все доступные инструменты накопления, которые могут улучшить качество управления и результат. Пенсия в 350 тыс. тенге — это не абстрактная мечта, а конкретная и достижимая цель. Все зависит от целеполагания, стратегии и желания каждого.</w:t>
      </w:r>
    </w:p>
    <w:p w14:paraId="341377E2" w14:textId="77777777" w:rsidR="007729D8" w:rsidRPr="001267A7" w:rsidRDefault="007729D8" w:rsidP="007729D8">
      <w:hyperlink r:id="rId45" w:history="1">
        <w:r w:rsidRPr="001267A7">
          <w:rPr>
            <w:rStyle w:val="a3"/>
          </w:rPr>
          <w:t>https://inbusiness.kz/ru/news/enpf-pokazal-sekretnyj-raschet-kak-nakopit-50-mln-tenge-k-pensii</w:t>
        </w:r>
      </w:hyperlink>
      <w:r w:rsidRPr="001267A7">
        <w:t xml:space="preserve"> </w:t>
      </w:r>
    </w:p>
    <w:p w14:paraId="69EAE54D" w14:textId="77777777" w:rsidR="00302175" w:rsidRPr="001267A7" w:rsidRDefault="00302175" w:rsidP="00302175">
      <w:pPr>
        <w:pStyle w:val="2"/>
      </w:pPr>
      <w:bookmarkStart w:id="183" w:name="_Toc198618961"/>
      <w:r w:rsidRPr="001267A7">
        <w:t>UPL.UZ, 19.05.2025, В Пенсионном фонде Узбекистана напомнили о надёжном пути к пенсии</w:t>
      </w:r>
      <w:bookmarkEnd w:id="183"/>
    </w:p>
    <w:p w14:paraId="736BB0C2" w14:textId="77777777" w:rsidR="00302175" w:rsidRPr="001267A7" w:rsidRDefault="00302175" w:rsidP="00E10B1E">
      <w:pPr>
        <w:pStyle w:val="3"/>
      </w:pPr>
      <w:bookmarkStart w:id="184" w:name="_Toc198618962"/>
      <w:r w:rsidRPr="001267A7">
        <w:t>Нередко граждане выбирают неофициальную занятость, соблазняясь перспективой быстрого заработка или немедленного получения наличных средств. Однако такое решение в долгосрочной перспективе оборачивается для них потерей ряда важных социальных гарантий.</w:t>
      </w:r>
      <w:bookmarkEnd w:id="184"/>
    </w:p>
    <w:p w14:paraId="0568F100" w14:textId="77777777" w:rsidR="00302175" w:rsidRPr="001267A7" w:rsidRDefault="00302175" w:rsidP="00302175">
      <w:r w:rsidRPr="001267A7">
        <w:t>В Пенсионном фонде Республики Узбекистан напомнили, что одним из ключевых преимуществ официального трудоустройства является гарантированное пенсионное обеспечение в будущем. Работодатель, в соответствии с законодательством, ежемесячно осуществляет отчисления в Пенсионный фонд из заработной платы сотрудника. Именно эти взносы формируют пенсионные права работника и обеспечивают ему выплату государственной пенсии по достижении пенсионного возраста.</w:t>
      </w:r>
    </w:p>
    <w:p w14:paraId="25F23D7B" w14:textId="77777777" w:rsidR="00302175" w:rsidRPr="001267A7" w:rsidRDefault="00302175" w:rsidP="00302175">
      <w:r w:rsidRPr="001267A7">
        <w:t>В отличие от официально трудоустроенных граждан, лица, работающие неофициально, сталкиваются со значительными трудностями при наступлении пенсионного возраста. Отсутствие регулярных отчислений в Пенсионный фонд лишает их права на получение государственной пенсии, что может существенно ухудшить их материальное положение в пожилом возрасте.</w:t>
      </w:r>
    </w:p>
    <w:p w14:paraId="592D5F2A" w14:textId="77777777" w:rsidR="00111D7C" w:rsidRPr="001267A7" w:rsidRDefault="00302175" w:rsidP="00302175">
      <w:hyperlink r:id="rId46" w:history="1">
        <w:r w:rsidRPr="001267A7">
          <w:rPr>
            <w:rStyle w:val="a3"/>
          </w:rPr>
          <w:t>https://upl.uz/obshestvo/52022-news.html</w:t>
        </w:r>
      </w:hyperlink>
    </w:p>
    <w:bookmarkEnd w:id="125"/>
    <w:p w14:paraId="3CA8B309" w14:textId="77777777" w:rsidR="00302175" w:rsidRPr="001267A7" w:rsidRDefault="00302175" w:rsidP="00302175"/>
    <w:sectPr w:rsidR="00302175" w:rsidRPr="001267A7" w:rsidSect="00B01BEA">
      <w:headerReference w:type="default" r:id="rId47"/>
      <w:footerReference w:type="default" r:id="rId48"/>
      <w:pgSz w:w="11906" w:h="16838" w:code="9"/>
      <w:pgMar w:top="1985" w:right="1134"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68A8BF" w14:textId="77777777" w:rsidR="00EE4EDF" w:rsidRDefault="00EE4EDF">
      <w:r>
        <w:separator/>
      </w:r>
    </w:p>
  </w:endnote>
  <w:endnote w:type="continuationSeparator" w:id="0">
    <w:p w14:paraId="643785F7" w14:textId="77777777" w:rsidR="00EE4EDF" w:rsidRDefault="00EE4E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EFF" w:usb1="F9DFFFFF" w:usb2="0000007F" w:usb3="00000000" w:csb0="003F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Arial Rounded MT Bold">
    <w:panose1 w:val="020F070403050403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6CD973" w14:textId="77777777" w:rsidR="00593D6A" w:rsidRPr="00D64E5C" w:rsidRDefault="00593D6A" w:rsidP="00D64E5C">
    <w:pPr>
      <w:pStyle w:val="af4"/>
      <w:pBdr>
        <w:top w:val="thinThickSmallGap" w:sz="24" w:space="1" w:color="622423"/>
      </w:pBdr>
      <w:tabs>
        <w:tab w:val="clear" w:pos="4677"/>
        <w:tab w:val="clear" w:pos="9355"/>
        <w:tab w:val="right" w:pos="9071"/>
      </w:tabs>
      <w:rPr>
        <w:rFonts w:ascii="Cambria" w:hAnsi="Cambria"/>
      </w:rPr>
    </w:pPr>
    <w:r w:rsidRPr="00D64E5C">
      <w:tab/>
    </w:r>
    <w:r w:rsidRPr="00CB47BF">
      <w:rPr>
        <w:b/>
      </w:rPr>
      <w:fldChar w:fldCharType="begin"/>
    </w:r>
    <w:r w:rsidRPr="00CB47BF">
      <w:rPr>
        <w:b/>
      </w:rPr>
      <w:instrText xml:space="preserve"> PAGE   \* MERGEFORMAT </w:instrText>
    </w:r>
    <w:r w:rsidRPr="00CB47BF">
      <w:rPr>
        <w:b/>
      </w:rPr>
      <w:fldChar w:fldCharType="separate"/>
    </w:r>
    <w:r w:rsidRPr="00365073">
      <w:rPr>
        <w:rFonts w:ascii="Cambria" w:hAnsi="Cambria"/>
        <w:b/>
        <w:noProof/>
      </w:rPr>
      <w:t>5</w:t>
    </w:r>
    <w:r w:rsidRPr="00CB47BF">
      <w:rPr>
        <w:b/>
      </w:rPr>
      <w:fldChar w:fldCharType="end"/>
    </w:r>
  </w:p>
  <w:p w14:paraId="48DEF927" w14:textId="77777777" w:rsidR="00593D6A" w:rsidRPr="00D15988" w:rsidRDefault="00593D6A" w:rsidP="00D64E5C">
    <w:pP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7DD4A8" w14:textId="77777777" w:rsidR="00EE4EDF" w:rsidRDefault="00EE4EDF">
      <w:r>
        <w:separator/>
      </w:r>
    </w:p>
  </w:footnote>
  <w:footnote w:type="continuationSeparator" w:id="0">
    <w:p w14:paraId="4B765933" w14:textId="77777777" w:rsidR="00EE4EDF" w:rsidRDefault="00EE4E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EDAE03" w14:textId="77777777" w:rsidR="00593D6A" w:rsidRDefault="00000000" w:rsidP="00122493">
    <w:pPr>
      <w:tabs>
        <w:tab w:val="left" w:pos="555"/>
        <w:tab w:val="right" w:pos="9071"/>
      </w:tabs>
      <w:jc w:val="center"/>
    </w:pPr>
    <w:r>
      <w:rPr>
        <w:noProof/>
      </w:rPr>
      <w:pict w14:anchorId="202871EA">
        <v:roundrect id="_x0000_s1034" style="position:absolute;left:0;text-align:left;margin-left:127.5pt;margin-top:-13.7pt;width:188.6pt;height:31.25pt;z-index:1" arcsize="10923f" stroked="f">
          <v:textbox style="mso-next-textbox:#_x0000_s1034">
            <w:txbxContent>
              <w:p w14:paraId="018ABC80" w14:textId="77777777" w:rsidR="00593D6A" w:rsidRPr="000C041B" w:rsidRDefault="00593D6A" w:rsidP="00122493">
                <w:pPr>
                  <w:ind w:right="423"/>
                  <w:jc w:val="center"/>
                  <w:rPr>
                    <w:rFonts w:cs="Arial"/>
                    <w:b/>
                    <w:color w:val="EEECE1"/>
                    <w:sz w:val="6"/>
                    <w:szCs w:val="6"/>
                  </w:rPr>
                </w:pPr>
                <w:r w:rsidRPr="000C041B">
                  <w:rPr>
                    <w:rFonts w:cs="Arial"/>
                    <w:b/>
                    <w:color w:val="EEECE1"/>
                    <w:sz w:val="6"/>
                    <w:szCs w:val="6"/>
                  </w:rPr>
                  <w:t xml:space="preserve">        </w:t>
                </w:r>
              </w:p>
              <w:p w14:paraId="426E328C" w14:textId="77777777" w:rsidR="00593D6A" w:rsidRPr="00D15988" w:rsidRDefault="00593D6A" w:rsidP="00122493">
                <w:pPr>
                  <w:ind w:right="423"/>
                  <w:jc w:val="center"/>
                  <w:rPr>
                    <w:rFonts w:cs="Arial"/>
                    <w:b/>
                    <w:u w:val="single"/>
                  </w:rPr>
                </w:pPr>
                <w:r w:rsidRPr="000C041B">
                  <w:rPr>
                    <w:rFonts w:cs="Arial"/>
                    <w:b/>
                  </w:rPr>
                  <w:t xml:space="preserve">       </w:t>
                </w:r>
                <w:r>
                  <w:rPr>
                    <w:rFonts w:cs="Arial"/>
                    <w:b/>
                    <w:u w:val="single"/>
                  </w:rPr>
                  <w:t>МО</w:t>
                </w:r>
                <w:r w:rsidRPr="00D15988">
                  <w:rPr>
                    <w:rFonts w:cs="Arial"/>
                    <w:b/>
                    <w:u w:val="single"/>
                  </w:rPr>
                  <w:t>НИТОРИНГ СМИ</w:t>
                </w:r>
              </w:p>
              <w:p w14:paraId="1895F99B" w14:textId="77777777" w:rsidR="00593D6A" w:rsidRPr="007336C7" w:rsidRDefault="00593D6A" w:rsidP="00122493">
                <w:pPr>
                  <w:ind w:right="423"/>
                  <w:rPr>
                    <w:rFonts w:cs="Arial"/>
                  </w:rPr>
                </w:pPr>
              </w:p>
              <w:p w14:paraId="4C957EF5" w14:textId="77777777" w:rsidR="00593D6A" w:rsidRPr="00267F53" w:rsidRDefault="00593D6A" w:rsidP="00122493"/>
            </w:txbxContent>
          </v:textbox>
        </v:roundrect>
      </w:pict>
    </w:r>
    <w:r w:rsidR="00593D6A">
      <w:t xml:space="preserve">             </w:t>
    </w:r>
  </w:p>
  <w:p w14:paraId="1A398FAC" w14:textId="77777777" w:rsidR="00593D6A" w:rsidRDefault="00593D6A" w:rsidP="00122493">
    <w:pPr>
      <w:tabs>
        <w:tab w:val="left" w:pos="555"/>
        <w:tab w:val="right" w:pos="9071"/>
      </w:tabs>
      <w:jc w:val="center"/>
    </w:pPr>
    <w:r>
      <w:tab/>
    </w:r>
    <w:r>
      <w:tab/>
    </w:r>
    <w:r>
      <w:rPr>
        <w:noProof/>
      </w:rPr>
      <w:fldChar w:fldCharType="begin"/>
    </w:r>
    <w:r>
      <w:rPr>
        <w:noProof/>
      </w:rPr>
      <w:instrText xml:space="preserve"> INCLUDEPICTURE  "cid:image001.jpg@01DAABA8.0A343520" \* MERGEFORMATINET </w:instrText>
    </w:r>
    <w:r>
      <w:rPr>
        <w:noProof/>
      </w:rPr>
      <w:fldChar w:fldCharType="separate"/>
    </w:r>
    <w:r>
      <w:rPr>
        <w:noProof/>
      </w:rPr>
      <w:fldChar w:fldCharType="begin"/>
    </w:r>
    <w:r>
      <w:rPr>
        <w:noProof/>
      </w:rPr>
      <w:instrText xml:space="preserve"> INCLUDEPICTURE  "cid:image001.jpg@01DAABA8.0A343520" \* MERGEFORMATINET </w:instrText>
    </w:r>
    <w:r>
      <w:rPr>
        <w:noProof/>
      </w:rPr>
      <w:fldChar w:fldCharType="separate"/>
    </w:r>
    <w:r w:rsidR="00000000">
      <w:rPr>
        <w:noProof/>
      </w:rPr>
      <w:fldChar w:fldCharType="begin"/>
    </w:r>
    <w:r w:rsidR="00000000">
      <w:rPr>
        <w:noProof/>
      </w:rPr>
      <w:instrText xml:space="preserve"> INCLUDEPICTURE  "cid:image001.jpg@01DAABA8.0A343520" \* MERGEFORMATINET </w:instrText>
    </w:r>
    <w:r w:rsidR="00000000">
      <w:rPr>
        <w:noProof/>
      </w:rPr>
      <w:fldChar w:fldCharType="separate"/>
    </w:r>
    <w:r w:rsidR="00364B06">
      <w:rPr>
        <w:noProof/>
      </w:rPr>
      <w:pict w14:anchorId="4AA6F1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71.75pt;height:39pt;visibility:visible">
          <v:imagedata r:id="rId1" r:href="rId2"/>
        </v:shape>
      </w:pict>
    </w:r>
    <w:r w:rsidR="00000000">
      <w:rPr>
        <w:noProof/>
      </w:rPr>
      <w:fldChar w:fldCharType="end"/>
    </w:r>
    <w:r>
      <w:rPr>
        <w:noProof/>
      </w:rPr>
      <w:fldChar w:fldCharType="end"/>
    </w:r>
    <w:r>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3AC290C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974707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41646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7945EE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FD4DA2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332614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C3E206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896912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778586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8F46E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8146D7"/>
    <w:multiLevelType w:val="hybridMultilevel"/>
    <w:tmpl w:val="F2CAC62A"/>
    <w:lvl w:ilvl="0" w:tplc="F4C02EC8">
      <w:start w:val="1"/>
      <w:numFmt w:val="bullet"/>
      <w:pStyle w:val="1"/>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1" w15:restartNumberingAfterBreak="0">
    <w:nsid w:val="15B0303E"/>
    <w:multiLevelType w:val="hybridMultilevel"/>
    <w:tmpl w:val="2564F9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6AD776F"/>
    <w:multiLevelType w:val="multilevel"/>
    <w:tmpl w:val="4FBA23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9A1494A"/>
    <w:multiLevelType w:val="hybridMultilevel"/>
    <w:tmpl w:val="C012F9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2D293481"/>
    <w:multiLevelType w:val="hybridMultilevel"/>
    <w:tmpl w:val="E31A1B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14605C4"/>
    <w:multiLevelType w:val="hybridMultilevel"/>
    <w:tmpl w:val="8F16C64E"/>
    <w:lvl w:ilvl="0" w:tplc="04190001">
      <w:start w:val="1"/>
      <w:numFmt w:val="bullet"/>
      <w:lvlText w:val=""/>
      <w:lvlJc w:val="left"/>
      <w:pPr>
        <w:tabs>
          <w:tab w:val="num" w:pos="720"/>
        </w:tabs>
        <w:ind w:left="720" w:hanging="360"/>
      </w:pPr>
      <w:rPr>
        <w:rFonts w:ascii="Symbol" w:hAnsi="Symbol" w:hint="default"/>
      </w:rPr>
    </w:lvl>
    <w:lvl w:ilvl="1" w:tplc="37284FEA">
      <w:start w:val="1"/>
      <w:numFmt w:val="bullet"/>
      <w:lvlText w:val="-"/>
      <w:lvlJc w:val="left"/>
      <w:pPr>
        <w:tabs>
          <w:tab w:val="num" w:pos="1440"/>
        </w:tabs>
        <w:ind w:left="1440" w:hanging="360"/>
      </w:pPr>
      <w:rPr>
        <w:rFonts w:ascii="Times New Roman" w:eastAsia="Arial Unicode MS"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272017E"/>
    <w:multiLevelType w:val="multilevel"/>
    <w:tmpl w:val="06F64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37B2DC4"/>
    <w:multiLevelType w:val="multilevel"/>
    <w:tmpl w:val="0C86BF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FB40D9B"/>
    <w:multiLevelType w:val="multilevel"/>
    <w:tmpl w:val="2F8A287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9" w15:restartNumberingAfterBreak="0">
    <w:nsid w:val="421553F6"/>
    <w:multiLevelType w:val="hybridMultilevel"/>
    <w:tmpl w:val="A45CE8F6"/>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20" w15:restartNumberingAfterBreak="0">
    <w:nsid w:val="435E3B98"/>
    <w:multiLevelType w:val="hybridMultilevel"/>
    <w:tmpl w:val="C75C8C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4E4A261A"/>
    <w:multiLevelType w:val="multilevel"/>
    <w:tmpl w:val="D6900B4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515E4C01"/>
    <w:multiLevelType w:val="hybridMultilevel"/>
    <w:tmpl w:val="A18C25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549D5BB2"/>
    <w:multiLevelType w:val="hybridMultilevel"/>
    <w:tmpl w:val="2858175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588656C3"/>
    <w:multiLevelType w:val="multilevel"/>
    <w:tmpl w:val="5A84D8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CDE7C1B"/>
    <w:multiLevelType w:val="multilevel"/>
    <w:tmpl w:val="EA86C1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83F0671"/>
    <w:multiLevelType w:val="hybridMultilevel"/>
    <w:tmpl w:val="970411D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7ACC3340"/>
    <w:multiLevelType w:val="multilevel"/>
    <w:tmpl w:val="AD24B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28596190">
    <w:abstractNumId w:val="25"/>
  </w:num>
  <w:num w:numId="2" w16cid:durableId="338704699">
    <w:abstractNumId w:val="12"/>
  </w:num>
  <w:num w:numId="3" w16cid:durableId="2094472439">
    <w:abstractNumId w:val="27"/>
  </w:num>
  <w:num w:numId="4" w16cid:durableId="1373455904">
    <w:abstractNumId w:val="17"/>
  </w:num>
  <w:num w:numId="5" w16cid:durableId="1208688071">
    <w:abstractNumId w:val="18"/>
  </w:num>
  <w:num w:numId="6" w16cid:durableId="1282761147">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771120961">
    <w:abstractNumId w:val="24"/>
  </w:num>
  <w:num w:numId="8" w16cid:durableId="1774201674">
    <w:abstractNumId w:val="21"/>
  </w:num>
  <w:num w:numId="9" w16cid:durableId="438378877">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041707655">
    <w:abstractNumId w:val="16"/>
  </w:num>
  <w:num w:numId="11" w16cid:durableId="1581253257">
    <w:abstractNumId w:val="15"/>
  </w:num>
  <w:num w:numId="12" w16cid:durableId="349919919">
    <w:abstractNumId w:val="10"/>
  </w:num>
  <w:num w:numId="13" w16cid:durableId="943997624">
    <w:abstractNumId w:val="9"/>
  </w:num>
  <w:num w:numId="14" w16cid:durableId="1107653467">
    <w:abstractNumId w:val="7"/>
  </w:num>
  <w:num w:numId="15" w16cid:durableId="870072628">
    <w:abstractNumId w:val="6"/>
  </w:num>
  <w:num w:numId="16" w16cid:durableId="541289705">
    <w:abstractNumId w:val="5"/>
  </w:num>
  <w:num w:numId="17" w16cid:durableId="986977388">
    <w:abstractNumId w:val="4"/>
  </w:num>
  <w:num w:numId="18" w16cid:durableId="1515850533">
    <w:abstractNumId w:val="8"/>
  </w:num>
  <w:num w:numId="19" w16cid:durableId="1655405065">
    <w:abstractNumId w:val="3"/>
  </w:num>
  <w:num w:numId="20" w16cid:durableId="1528979459">
    <w:abstractNumId w:val="2"/>
  </w:num>
  <w:num w:numId="21" w16cid:durableId="504636114">
    <w:abstractNumId w:val="1"/>
  </w:num>
  <w:num w:numId="22" w16cid:durableId="712467800">
    <w:abstractNumId w:val="0"/>
  </w:num>
  <w:num w:numId="23" w16cid:durableId="1033263021">
    <w:abstractNumId w:val="19"/>
  </w:num>
  <w:num w:numId="24" w16cid:durableId="1092093081">
    <w:abstractNumId w:val="26"/>
  </w:num>
  <w:num w:numId="25" w16cid:durableId="1629972387">
    <w:abstractNumId w:val="20"/>
  </w:num>
  <w:num w:numId="26" w16cid:durableId="1654287902">
    <w:abstractNumId w:val="13"/>
  </w:num>
  <w:num w:numId="27" w16cid:durableId="152992644">
    <w:abstractNumId w:val="11"/>
  </w:num>
  <w:num w:numId="28" w16cid:durableId="960918246">
    <w:abstractNumId w:val="22"/>
  </w:num>
  <w:num w:numId="29" w16cid:durableId="1645158469">
    <w:abstractNumId w:val="23"/>
  </w:num>
  <w:num w:numId="30" w16cid:durableId="134875330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characterSpacingControl w:val="doNotCompress"/>
  <w:hdrShapeDefaults>
    <o:shapedefaults v:ext="edit" spidmax="2050">
      <o:colormru v:ext="edit" colors="#060,#003e00"/>
    </o:shapedefaults>
    <o:shapelayout v:ext="edit">
      <o:idmap v:ext="edit" data="1"/>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01ABA"/>
    <w:rsid w:val="00000423"/>
    <w:rsid w:val="000008BF"/>
    <w:rsid w:val="00000925"/>
    <w:rsid w:val="00001218"/>
    <w:rsid w:val="00001928"/>
    <w:rsid w:val="00001DC7"/>
    <w:rsid w:val="000024DF"/>
    <w:rsid w:val="000032A8"/>
    <w:rsid w:val="00003588"/>
    <w:rsid w:val="00003792"/>
    <w:rsid w:val="00003997"/>
    <w:rsid w:val="00004024"/>
    <w:rsid w:val="0000408E"/>
    <w:rsid w:val="000045B5"/>
    <w:rsid w:val="000045C7"/>
    <w:rsid w:val="000046BE"/>
    <w:rsid w:val="00004CBC"/>
    <w:rsid w:val="000060F4"/>
    <w:rsid w:val="00006AB3"/>
    <w:rsid w:val="0000788E"/>
    <w:rsid w:val="00011DCE"/>
    <w:rsid w:val="00011F4B"/>
    <w:rsid w:val="00012066"/>
    <w:rsid w:val="00013CA1"/>
    <w:rsid w:val="0001460C"/>
    <w:rsid w:val="00014851"/>
    <w:rsid w:val="00015103"/>
    <w:rsid w:val="000173F8"/>
    <w:rsid w:val="00017DAF"/>
    <w:rsid w:val="000214CF"/>
    <w:rsid w:val="0002219C"/>
    <w:rsid w:val="000224D4"/>
    <w:rsid w:val="00022552"/>
    <w:rsid w:val="00022EEA"/>
    <w:rsid w:val="0002331C"/>
    <w:rsid w:val="0002368C"/>
    <w:rsid w:val="0002440D"/>
    <w:rsid w:val="00024DD7"/>
    <w:rsid w:val="00025C39"/>
    <w:rsid w:val="00025D7E"/>
    <w:rsid w:val="00026667"/>
    <w:rsid w:val="00026696"/>
    <w:rsid w:val="00026A5A"/>
    <w:rsid w:val="00026B66"/>
    <w:rsid w:val="00026FD0"/>
    <w:rsid w:val="00027A51"/>
    <w:rsid w:val="00027FFA"/>
    <w:rsid w:val="0003060B"/>
    <w:rsid w:val="000306B3"/>
    <w:rsid w:val="00031095"/>
    <w:rsid w:val="00031459"/>
    <w:rsid w:val="000316E1"/>
    <w:rsid w:val="00031BEF"/>
    <w:rsid w:val="00032FE8"/>
    <w:rsid w:val="00033896"/>
    <w:rsid w:val="000342C0"/>
    <w:rsid w:val="00034842"/>
    <w:rsid w:val="00035A6F"/>
    <w:rsid w:val="00035EF6"/>
    <w:rsid w:val="0003736E"/>
    <w:rsid w:val="0003750D"/>
    <w:rsid w:val="00040453"/>
    <w:rsid w:val="00040688"/>
    <w:rsid w:val="0004081E"/>
    <w:rsid w:val="000425D1"/>
    <w:rsid w:val="00042F75"/>
    <w:rsid w:val="0004327C"/>
    <w:rsid w:val="000434FF"/>
    <w:rsid w:val="00043EB5"/>
    <w:rsid w:val="000449B0"/>
    <w:rsid w:val="00044DAB"/>
    <w:rsid w:val="00044FF0"/>
    <w:rsid w:val="00046577"/>
    <w:rsid w:val="0004668F"/>
    <w:rsid w:val="00046F49"/>
    <w:rsid w:val="000475BD"/>
    <w:rsid w:val="00047902"/>
    <w:rsid w:val="000479AC"/>
    <w:rsid w:val="000479B5"/>
    <w:rsid w:val="00047D25"/>
    <w:rsid w:val="00047DF0"/>
    <w:rsid w:val="00047E8B"/>
    <w:rsid w:val="00051033"/>
    <w:rsid w:val="0005172F"/>
    <w:rsid w:val="00051910"/>
    <w:rsid w:val="00051AC6"/>
    <w:rsid w:val="000536D6"/>
    <w:rsid w:val="00053F0D"/>
    <w:rsid w:val="000551CD"/>
    <w:rsid w:val="00055295"/>
    <w:rsid w:val="00056890"/>
    <w:rsid w:val="00056FB7"/>
    <w:rsid w:val="00056FC1"/>
    <w:rsid w:val="00057E6B"/>
    <w:rsid w:val="00057EDF"/>
    <w:rsid w:val="00057F9D"/>
    <w:rsid w:val="00060215"/>
    <w:rsid w:val="000609EC"/>
    <w:rsid w:val="00060C72"/>
    <w:rsid w:val="00060DFF"/>
    <w:rsid w:val="00060FA8"/>
    <w:rsid w:val="000610AF"/>
    <w:rsid w:val="000621BE"/>
    <w:rsid w:val="000623CD"/>
    <w:rsid w:val="00062422"/>
    <w:rsid w:val="0006388C"/>
    <w:rsid w:val="00064511"/>
    <w:rsid w:val="0006456B"/>
    <w:rsid w:val="00064657"/>
    <w:rsid w:val="00064F8E"/>
    <w:rsid w:val="00065194"/>
    <w:rsid w:val="0006546E"/>
    <w:rsid w:val="00067548"/>
    <w:rsid w:val="00067BB4"/>
    <w:rsid w:val="00067F39"/>
    <w:rsid w:val="00071D93"/>
    <w:rsid w:val="000720C5"/>
    <w:rsid w:val="000726EE"/>
    <w:rsid w:val="00072BE2"/>
    <w:rsid w:val="00073070"/>
    <w:rsid w:val="00073671"/>
    <w:rsid w:val="0007372A"/>
    <w:rsid w:val="00073790"/>
    <w:rsid w:val="000749A3"/>
    <w:rsid w:val="000755E4"/>
    <w:rsid w:val="0007579D"/>
    <w:rsid w:val="00075912"/>
    <w:rsid w:val="000759EE"/>
    <w:rsid w:val="00076407"/>
    <w:rsid w:val="00076AD1"/>
    <w:rsid w:val="00076EF5"/>
    <w:rsid w:val="00077B8F"/>
    <w:rsid w:val="00080608"/>
    <w:rsid w:val="0008110E"/>
    <w:rsid w:val="0008167F"/>
    <w:rsid w:val="00083502"/>
    <w:rsid w:val="0008384D"/>
    <w:rsid w:val="00083C23"/>
    <w:rsid w:val="00084F93"/>
    <w:rsid w:val="00085E50"/>
    <w:rsid w:val="00086433"/>
    <w:rsid w:val="000867E7"/>
    <w:rsid w:val="00086E3C"/>
    <w:rsid w:val="0008719E"/>
    <w:rsid w:val="00087714"/>
    <w:rsid w:val="000904AD"/>
    <w:rsid w:val="000907CC"/>
    <w:rsid w:val="000912D7"/>
    <w:rsid w:val="00091BE5"/>
    <w:rsid w:val="00091E81"/>
    <w:rsid w:val="00092188"/>
    <w:rsid w:val="00092B0E"/>
    <w:rsid w:val="00092B60"/>
    <w:rsid w:val="00093E4A"/>
    <w:rsid w:val="0009401E"/>
    <w:rsid w:val="00094725"/>
    <w:rsid w:val="000947D2"/>
    <w:rsid w:val="0009547A"/>
    <w:rsid w:val="00096078"/>
    <w:rsid w:val="00097677"/>
    <w:rsid w:val="00097BE1"/>
    <w:rsid w:val="000A13C2"/>
    <w:rsid w:val="000A184B"/>
    <w:rsid w:val="000A1858"/>
    <w:rsid w:val="000A2829"/>
    <w:rsid w:val="000A3727"/>
    <w:rsid w:val="000A41CA"/>
    <w:rsid w:val="000A4DD6"/>
    <w:rsid w:val="000A5E36"/>
    <w:rsid w:val="000A628E"/>
    <w:rsid w:val="000A7421"/>
    <w:rsid w:val="000B023D"/>
    <w:rsid w:val="000B0494"/>
    <w:rsid w:val="000B0936"/>
    <w:rsid w:val="000B0D90"/>
    <w:rsid w:val="000B1180"/>
    <w:rsid w:val="000B1BAB"/>
    <w:rsid w:val="000B21B7"/>
    <w:rsid w:val="000B2B04"/>
    <w:rsid w:val="000B2F3D"/>
    <w:rsid w:val="000B301B"/>
    <w:rsid w:val="000B306E"/>
    <w:rsid w:val="000B3352"/>
    <w:rsid w:val="000B3611"/>
    <w:rsid w:val="000B3970"/>
    <w:rsid w:val="000B421A"/>
    <w:rsid w:val="000B4592"/>
    <w:rsid w:val="000B4CB7"/>
    <w:rsid w:val="000B5020"/>
    <w:rsid w:val="000B527E"/>
    <w:rsid w:val="000B647C"/>
    <w:rsid w:val="000B655A"/>
    <w:rsid w:val="000B66D1"/>
    <w:rsid w:val="000B6C19"/>
    <w:rsid w:val="000B7098"/>
    <w:rsid w:val="000B735F"/>
    <w:rsid w:val="000B7CD7"/>
    <w:rsid w:val="000B7E75"/>
    <w:rsid w:val="000C041B"/>
    <w:rsid w:val="000C0D03"/>
    <w:rsid w:val="000C1330"/>
    <w:rsid w:val="000C1348"/>
    <w:rsid w:val="000C16F7"/>
    <w:rsid w:val="000C1709"/>
    <w:rsid w:val="000C1A46"/>
    <w:rsid w:val="000C2290"/>
    <w:rsid w:val="000C2327"/>
    <w:rsid w:val="000C3979"/>
    <w:rsid w:val="000C4EE4"/>
    <w:rsid w:val="000C4FE3"/>
    <w:rsid w:val="000C5BB6"/>
    <w:rsid w:val="000C5FC8"/>
    <w:rsid w:val="000C67C1"/>
    <w:rsid w:val="000C6BFC"/>
    <w:rsid w:val="000C7D5E"/>
    <w:rsid w:val="000D0064"/>
    <w:rsid w:val="000D121B"/>
    <w:rsid w:val="000D23A3"/>
    <w:rsid w:val="000D26BF"/>
    <w:rsid w:val="000D567E"/>
    <w:rsid w:val="000D5B7B"/>
    <w:rsid w:val="000D5C9C"/>
    <w:rsid w:val="000D5CB9"/>
    <w:rsid w:val="000D5E2A"/>
    <w:rsid w:val="000D65C5"/>
    <w:rsid w:val="000D668F"/>
    <w:rsid w:val="000D6FBC"/>
    <w:rsid w:val="000D73FB"/>
    <w:rsid w:val="000E091C"/>
    <w:rsid w:val="000E0AE6"/>
    <w:rsid w:val="000E0F9A"/>
    <w:rsid w:val="000E13FC"/>
    <w:rsid w:val="000E2346"/>
    <w:rsid w:val="000E278F"/>
    <w:rsid w:val="000E2D7E"/>
    <w:rsid w:val="000E3494"/>
    <w:rsid w:val="000E4AB8"/>
    <w:rsid w:val="000E4DC5"/>
    <w:rsid w:val="000E50E7"/>
    <w:rsid w:val="000E513F"/>
    <w:rsid w:val="000E60CA"/>
    <w:rsid w:val="000E6448"/>
    <w:rsid w:val="000E7DC5"/>
    <w:rsid w:val="000F0114"/>
    <w:rsid w:val="000F0292"/>
    <w:rsid w:val="000F0AE5"/>
    <w:rsid w:val="000F1475"/>
    <w:rsid w:val="000F1718"/>
    <w:rsid w:val="000F17A4"/>
    <w:rsid w:val="000F1BB0"/>
    <w:rsid w:val="000F22A8"/>
    <w:rsid w:val="000F295A"/>
    <w:rsid w:val="000F3C95"/>
    <w:rsid w:val="000F3FEF"/>
    <w:rsid w:val="000F4431"/>
    <w:rsid w:val="000F61D5"/>
    <w:rsid w:val="000F658F"/>
    <w:rsid w:val="000F692F"/>
    <w:rsid w:val="000F722F"/>
    <w:rsid w:val="0010117D"/>
    <w:rsid w:val="0010149B"/>
    <w:rsid w:val="0010169E"/>
    <w:rsid w:val="00101B63"/>
    <w:rsid w:val="00101EFA"/>
    <w:rsid w:val="00102FA6"/>
    <w:rsid w:val="00103125"/>
    <w:rsid w:val="0010320C"/>
    <w:rsid w:val="00103374"/>
    <w:rsid w:val="0010376F"/>
    <w:rsid w:val="001037E4"/>
    <w:rsid w:val="001045C6"/>
    <w:rsid w:val="001047E0"/>
    <w:rsid w:val="00105129"/>
    <w:rsid w:val="00105DF2"/>
    <w:rsid w:val="00106760"/>
    <w:rsid w:val="00110562"/>
    <w:rsid w:val="00110E70"/>
    <w:rsid w:val="00111D7C"/>
    <w:rsid w:val="0011216E"/>
    <w:rsid w:val="001122D3"/>
    <w:rsid w:val="00112323"/>
    <w:rsid w:val="0011272B"/>
    <w:rsid w:val="00112A2C"/>
    <w:rsid w:val="00113539"/>
    <w:rsid w:val="0011415C"/>
    <w:rsid w:val="001145CE"/>
    <w:rsid w:val="001150A1"/>
    <w:rsid w:val="00115E7F"/>
    <w:rsid w:val="00116735"/>
    <w:rsid w:val="00116DF9"/>
    <w:rsid w:val="001174FE"/>
    <w:rsid w:val="0011777B"/>
    <w:rsid w:val="00120807"/>
    <w:rsid w:val="0012191A"/>
    <w:rsid w:val="00121E5C"/>
    <w:rsid w:val="001222BB"/>
    <w:rsid w:val="00122493"/>
    <w:rsid w:val="001227B8"/>
    <w:rsid w:val="00122ABB"/>
    <w:rsid w:val="001230C9"/>
    <w:rsid w:val="001230E7"/>
    <w:rsid w:val="00123672"/>
    <w:rsid w:val="00123823"/>
    <w:rsid w:val="001239B6"/>
    <w:rsid w:val="00123BB3"/>
    <w:rsid w:val="00123CD0"/>
    <w:rsid w:val="001248BA"/>
    <w:rsid w:val="001258AD"/>
    <w:rsid w:val="00125D96"/>
    <w:rsid w:val="00126465"/>
    <w:rsid w:val="001267A7"/>
    <w:rsid w:val="0013021C"/>
    <w:rsid w:val="001306D0"/>
    <w:rsid w:val="00130B16"/>
    <w:rsid w:val="00131356"/>
    <w:rsid w:val="001319B0"/>
    <w:rsid w:val="001328E6"/>
    <w:rsid w:val="00132CD1"/>
    <w:rsid w:val="00132E98"/>
    <w:rsid w:val="001331C8"/>
    <w:rsid w:val="0013339E"/>
    <w:rsid w:val="001335EE"/>
    <w:rsid w:val="00133769"/>
    <w:rsid w:val="00134210"/>
    <w:rsid w:val="00134E75"/>
    <w:rsid w:val="0013522C"/>
    <w:rsid w:val="0013552B"/>
    <w:rsid w:val="00136509"/>
    <w:rsid w:val="00141032"/>
    <w:rsid w:val="0014103F"/>
    <w:rsid w:val="0014179E"/>
    <w:rsid w:val="001423EB"/>
    <w:rsid w:val="00142406"/>
    <w:rsid w:val="00142D62"/>
    <w:rsid w:val="00142DC8"/>
    <w:rsid w:val="00143368"/>
    <w:rsid w:val="00143666"/>
    <w:rsid w:val="001442DC"/>
    <w:rsid w:val="00144C7A"/>
    <w:rsid w:val="001459E2"/>
    <w:rsid w:val="001467D3"/>
    <w:rsid w:val="00146C09"/>
    <w:rsid w:val="0015006E"/>
    <w:rsid w:val="0015028E"/>
    <w:rsid w:val="0015052D"/>
    <w:rsid w:val="00150B49"/>
    <w:rsid w:val="00150D52"/>
    <w:rsid w:val="00150E9F"/>
    <w:rsid w:val="0015116E"/>
    <w:rsid w:val="001512A2"/>
    <w:rsid w:val="001515C9"/>
    <w:rsid w:val="00151647"/>
    <w:rsid w:val="001517CE"/>
    <w:rsid w:val="00151B22"/>
    <w:rsid w:val="00152C28"/>
    <w:rsid w:val="00152E14"/>
    <w:rsid w:val="00153B33"/>
    <w:rsid w:val="00153BB8"/>
    <w:rsid w:val="00154904"/>
    <w:rsid w:val="00154F48"/>
    <w:rsid w:val="00155F90"/>
    <w:rsid w:val="001560FF"/>
    <w:rsid w:val="00156C94"/>
    <w:rsid w:val="001601E6"/>
    <w:rsid w:val="001609F5"/>
    <w:rsid w:val="00160B82"/>
    <w:rsid w:val="0016169A"/>
    <w:rsid w:val="00162541"/>
    <w:rsid w:val="00162F66"/>
    <w:rsid w:val="00164D43"/>
    <w:rsid w:val="0016500F"/>
    <w:rsid w:val="0016510F"/>
    <w:rsid w:val="001651E0"/>
    <w:rsid w:val="001653CE"/>
    <w:rsid w:val="00165EB8"/>
    <w:rsid w:val="001667D3"/>
    <w:rsid w:val="00166DFC"/>
    <w:rsid w:val="00167C8E"/>
    <w:rsid w:val="0017004C"/>
    <w:rsid w:val="001705F6"/>
    <w:rsid w:val="00170DFA"/>
    <w:rsid w:val="0017274B"/>
    <w:rsid w:val="001736D6"/>
    <w:rsid w:val="00173FEE"/>
    <w:rsid w:val="001745DE"/>
    <w:rsid w:val="001751D2"/>
    <w:rsid w:val="00175EBD"/>
    <w:rsid w:val="001767AE"/>
    <w:rsid w:val="00176BD6"/>
    <w:rsid w:val="00176EB0"/>
    <w:rsid w:val="001774EC"/>
    <w:rsid w:val="00177E8E"/>
    <w:rsid w:val="0018074F"/>
    <w:rsid w:val="00180BB2"/>
    <w:rsid w:val="00181145"/>
    <w:rsid w:val="00181696"/>
    <w:rsid w:val="00181882"/>
    <w:rsid w:val="00181EE7"/>
    <w:rsid w:val="001821CF"/>
    <w:rsid w:val="0018235D"/>
    <w:rsid w:val="00183319"/>
    <w:rsid w:val="00183377"/>
    <w:rsid w:val="0018383D"/>
    <w:rsid w:val="001838DB"/>
    <w:rsid w:val="0018423F"/>
    <w:rsid w:val="001843B7"/>
    <w:rsid w:val="001843E3"/>
    <w:rsid w:val="00184CB6"/>
    <w:rsid w:val="001851EE"/>
    <w:rsid w:val="00185528"/>
    <w:rsid w:val="00185540"/>
    <w:rsid w:val="00186E9A"/>
    <w:rsid w:val="00187310"/>
    <w:rsid w:val="0018733D"/>
    <w:rsid w:val="00190F22"/>
    <w:rsid w:val="001914BC"/>
    <w:rsid w:val="00191757"/>
    <w:rsid w:val="001920A9"/>
    <w:rsid w:val="001929C6"/>
    <w:rsid w:val="00192CFF"/>
    <w:rsid w:val="00193353"/>
    <w:rsid w:val="00194802"/>
    <w:rsid w:val="001951A3"/>
    <w:rsid w:val="00196138"/>
    <w:rsid w:val="001962B4"/>
    <w:rsid w:val="001969A9"/>
    <w:rsid w:val="00196AA2"/>
    <w:rsid w:val="00197214"/>
    <w:rsid w:val="00197318"/>
    <w:rsid w:val="001977FD"/>
    <w:rsid w:val="001A0B5E"/>
    <w:rsid w:val="001A1304"/>
    <w:rsid w:val="001A1535"/>
    <w:rsid w:val="001A2322"/>
    <w:rsid w:val="001A258E"/>
    <w:rsid w:val="001A28FE"/>
    <w:rsid w:val="001A2F74"/>
    <w:rsid w:val="001A2FA2"/>
    <w:rsid w:val="001A3415"/>
    <w:rsid w:val="001A38DA"/>
    <w:rsid w:val="001A3F79"/>
    <w:rsid w:val="001A3FB5"/>
    <w:rsid w:val="001A4A9E"/>
    <w:rsid w:val="001A58F4"/>
    <w:rsid w:val="001A72B5"/>
    <w:rsid w:val="001A79EB"/>
    <w:rsid w:val="001A79F2"/>
    <w:rsid w:val="001A7FC6"/>
    <w:rsid w:val="001B0377"/>
    <w:rsid w:val="001B0378"/>
    <w:rsid w:val="001B137D"/>
    <w:rsid w:val="001B2AD6"/>
    <w:rsid w:val="001B3E68"/>
    <w:rsid w:val="001B431C"/>
    <w:rsid w:val="001B4E0C"/>
    <w:rsid w:val="001B5095"/>
    <w:rsid w:val="001B51F1"/>
    <w:rsid w:val="001B544A"/>
    <w:rsid w:val="001B54C0"/>
    <w:rsid w:val="001B6274"/>
    <w:rsid w:val="001B78B6"/>
    <w:rsid w:val="001C06C4"/>
    <w:rsid w:val="001C09FE"/>
    <w:rsid w:val="001C0B8E"/>
    <w:rsid w:val="001C0D8A"/>
    <w:rsid w:val="001C1196"/>
    <w:rsid w:val="001C13BF"/>
    <w:rsid w:val="001C1549"/>
    <w:rsid w:val="001C1F88"/>
    <w:rsid w:val="001C1FB3"/>
    <w:rsid w:val="001C22AA"/>
    <w:rsid w:val="001C2443"/>
    <w:rsid w:val="001C5841"/>
    <w:rsid w:val="001C5A81"/>
    <w:rsid w:val="001C5C5D"/>
    <w:rsid w:val="001C5E43"/>
    <w:rsid w:val="001C68EC"/>
    <w:rsid w:val="001C732E"/>
    <w:rsid w:val="001C76D9"/>
    <w:rsid w:val="001C7905"/>
    <w:rsid w:val="001D0953"/>
    <w:rsid w:val="001D0DD4"/>
    <w:rsid w:val="001D1A08"/>
    <w:rsid w:val="001D2702"/>
    <w:rsid w:val="001D2A03"/>
    <w:rsid w:val="001D2B08"/>
    <w:rsid w:val="001D2C78"/>
    <w:rsid w:val="001D2E2A"/>
    <w:rsid w:val="001D3091"/>
    <w:rsid w:val="001D36F5"/>
    <w:rsid w:val="001D37F3"/>
    <w:rsid w:val="001D4352"/>
    <w:rsid w:val="001D46F3"/>
    <w:rsid w:val="001D4977"/>
    <w:rsid w:val="001D4DDC"/>
    <w:rsid w:val="001D5892"/>
    <w:rsid w:val="001D58DD"/>
    <w:rsid w:val="001D6071"/>
    <w:rsid w:val="001D60E1"/>
    <w:rsid w:val="001D61CE"/>
    <w:rsid w:val="001D61D6"/>
    <w:rsid w:val="001D703F"/>
    <w:rsid w:val="001D7897"/>
    <w:rsid w:val="001D7FB7"/>
    <w:rsid w:val="001E0892"/>
    <w:rsid w:val="001E0DA7"/>
    <w:rsid w:val="001E2552"/>
    <w:rsid w:val="001E2663"/>
    <w:rsid w:val="001E291B"/>
    <w:rsid w:val="001E2B73"/>
    <w:rsid w:val="001E3635"/>
    <w:rsid w:val="001E4176"/>
    <w:rsid w:val="001E4A6A"/>
    <w:rsid w:val="001E4CC5"/>
    <w:rsid w:val="001E600C"/>
    <w:rsid w:val="001E6A14"/>
    <w:rsid w:val="001E6FD9"/>
    <w:rsid w:val="001E77A1"/>
    <w:rsid w:val="001F03FA"/>
    <w:rsid w:val="001F04E9"/>
    <w:rsid w:val="001F0F42"/>
    <w:rsid w:val="001F1106"/>
    <w:rsid w:val="001F1EA6"/>
    <w:rsid w:val="001F1F57"/>
    <w:rsid w:val="001F270D"/>
    <w:rsid w:val="001F2A6A"/>
    <w:rsid w:val="001F2AA8"/>
    <w:rsid w:val="001F3886"/>
    <w:rsid w:val="001F395D"/>
    <w:rsid w:val="001F42F5"/>
    <w:rsid w:val="001F4E75"/>
    <w:rsid w:val="001F5285"/>
    <w:rsid w:val="001F5482"/>
    <w:rsid w:val="001F5A52"/>
    <w:rsid w:val="001F62E4"/>
    <w:rsid w:val="001F67A0"/>
    <w:rsid w:val="001F6C37"/>
    <w:rsid w:val="001F77AD"/>
    <w:rsid w:val="001F7E85"/>
    <w:rsid w:val="00200481"/>
    <w:rsid w:val="00200485"/>
    <w:rsid w:val="00201E39"/>
    <w:rsid w:val="0020253E"/>
    <w:rsid w:val="0020289A"/>
    <w:rsid w:val="00202F72"/>
    <w:rsid w:val="00203774"/>
    <w:rsid w:val="00203E18"/>
    <w:rsid w:val="0020489E"/>
    <w:rsid w:val="002055D1"/>
    <w:rsid w:val="0020622C"/>
    <w:rsid w:val="00206668"/>
    <w:rsid w:val="002069F5"/>
    <w:rsid w:val="00206A3A"/>
    <w:rsid w:val="00210BE9"/>
    <w:rsid w:val="00211793"/>
    <w:rsid w:val="00211F99"/>
    <w:rsid w:val="002135D3"/>
    <w:rsid w:val="00213FAC"/>
    <w:rsid w:val="002149C1"/>
    <w:rsid w:val="00214B4F"/>
    <w:rsid w:val="00215883"/>
    <w:rsid w:val="00215CE8"/>
    <w:rsid w:val="00215EE4"/>
    <w:rsid w:val="00216086"/>
    <w:rsid w:val="00216740"/>
    <w:rsid w:val="0021686D"/>
    <w:rsid w:val="00217163"/>
    <w:rsid w:val="00217DC9"/>
    <w:rsid w:val="0022081A"/>
    <w:rsid w:val="00220C1A"/>
    <w:rsid w:val="00221505"/>
    <w:rsid w:val="00221629"/>
    <w:rsid w:val="00222E3C"/>
    <w:rsid w:val="0022356A"/>
    <w:rsid w:val="00224E86"/>
    <w:rsid w:val="00225081"/>
    <w:rsid w:val="0022551B"/>
    <w:rsid w:val="002258D8"/>
    <w:rsid w:val="002262EC"/>
    <w:rsid w:val="002268C7"/>
    <w:rsid w:val="002271FA"/>
    <w:rsid w:val="00227DDF"/>
    <w:rsid w:val="0023077E"/>
    <w:rsid w:val="00230D5E"/>
    <w:rsid w:val="00230E77"/>
    <w:rsid w:val="00232C1A"/>
    <w:rsid w:val="00232D91"/>
    <w:rsid w:val="00232E27"/>
    <w:rsid w:val="0023357A"/>
    <w:rsid w:val="00233601"/>
    <w:rsid w:val="002337F8"/>
    <w:rsid w:val="00234323"/>
    <w:rsid w:val="00234716"/>
    <w:rsid w:val="00234AA8"/>
    <w:rsid w:val="00234FFA"/>
    <w:rsid w:val="002361A8"/>
    <w:rsid w:val="00236A65"/>
    <w:rsid w:val="00236ECE"/>
    <w:rsid w:val="0023730C"/>
    <w:rsid w:val="0023737C"/>
    <w:rsid w:val="00237B55"/>
    <w:rsid w:val="002418FC"/>
    <w:rsid w:val="00242315"/>
    <w:rsid w:val="00242CE2"/>
    <w:rsid w:val="002433BC"/>
    <w:rsid w:val="00243F06"/>
    <w:rsid w:val="00244646"/>
    <w:rsid w:val="00244831"/>
    <w:rsid w:val="002448EE"/>
    <w:rsid w:val="0024500D"/>
    <w:rsid w:val="00245181"/>
    <w:rsid w:val="002461DD"/>
    <w:rsid w:val="0024672E"/>
    <w:rsid w:val="002468AE"/>
    <w:rsid w:val="002472F3"/>
    <w:rsid w:val="00247615"/>
    <w:rsid w:val="002476A7"/>
    <w:rsid w:val="002476C9"/>
    <w:rsid w:val="00250710"/>
    <w:rsid w:val="00251071"/>
    <w:rsid w:val="00251167"/>
    <w:rsid w:val="0025209C"/>
    <w:rsid w:val="00253CC4"/>
    <w:rsid w:val="0025414C"/>
    <w:rsid w:val="0025655F"/>
    <w:rsid w:val="00256A49"/>
    <w:rsid w:val="00256BA2"/>
    <w:rsid w:val="00256C23"/>
    <w:rsid w:val="00256F23"/>
    <w:rsid w:val="00257189"/>
    <w:rsid w:val="002572A2"/>
    <w:rsid w:val="00257B5E"/>
    <w:rsid w:val="002600BF"/>
    <w:rsid w:val="00260215"/>
    <w:rsid w:val="00260905"/>
    <w:rsid w:val="00261568"/>
    <w:rsid w:val="00263BB9"/>
    <w:rsid w:val="0026478B"/>
    <w:rsid w:val="0026638C"/>
    <w:rsid w:val="002665AB"/>
    <w:rsid w:val="00267247"/>
    <w:rsid w:val="002675C8"/>
    <w:rsid w:val="002708BB"/>
    <w:rsid w:val="00270B22"/>
    <w:rsid w:val="00270C47"/>
    <w:rsid w:val="002720D7"/>
    <w:rsid w:val="00272DDE"/>
    <w:rsid w:val="00273377"/>
    <w:rsid w:val="002734DE"/>
    <w:rsid w:val="00273B3D"/>
    <w:rsid w:val="00273BA1"/>
    <w:rsid w:val="00273DFF"/>
    <w:rsid w:val="002740B8"/>
    <w:rsid w:val="00274398"/>
    <w:rsid w:val="002744DA"/>
    <w:rsid w:val="0027473B"/>
    <w:rsid w:val="00274F5E"/>
    <w:rsid w:val="002755B7"/>
    <w:rsid w:val="00276181"/>
    <w:rsid w:val="0027633D"/>
    <w:rsid w:val="002764C0"/>
    <w:rsid w:val="002766DF"/>
    <w:rsid w:val="00277323"/>
    <w:rsid w:val="00277AA2"/>
    <w:rsid w:val="00277E25"/>
    <w:rsid w:val="00277F04"/>
    <w:rsid w:val="002803AB"/>
    <w:rsid w:val="0028053E"/>
    <w:rsid w:val="00280BC3"/>
    <w:rsid w:val="00281331"/>
    <w:rsid w:val="00281B6F"/>
    <w:rsid w:val="002820AB"/>
    <w:rsid w:val="0028239A"/>
    <w:rsid w:val="00282539"/>
    <w:rsid w:val="00282B74"/>
    <w:rsid w:val="0028323A"/>
    <w:rsid w:val="00283F15"/>
    <w:rsid w:val="002847F8"/>
    <w:rsid w:val="00285E63"/>
    <w:rsid w:val="00286300"/>
    <w:rsid w:val="00286335"/>
    <w:rsid w:val="00286DF3"/>
    <w:rsid w:val="002903DC"/>
    <w:rsid w:val="00290AF7"/>
    <w:rsid w:val="00293008"/>
    <w:rsid w:val="002939E9"/>
    <w:rsid w:val="00294080"/>
    <w:rsid w:val="0029459A"/>
    <w:rsid w:val="0029488E"/>
    <w:rsid w:val="00295503"/>
    <w:rsid w:val="0029554E"/>
    <w:rsid w:val="002955B7"/>
    <w:rsid w:val="0029570C"/>
    <w:rsid w:val="002966AD"/>
    <w:rsid w:val="0029671E"/>
    <w:rsid w:val="00296753"/>
    <w:rsid w:val="002A03E2"/>
    <w:rsid w:val="002A085F"/>
    <w:rsid w:val="002A0B78"/>
    <w:rsid w:val="002A0F5D"/>
    <w:rsid w:val="002A1032"/>
    <w:rsid w:val="002A12F4"/>
    <w:rsid w:val="002A1547"/>
    <w:rsid w:val="002A1684"/>
    <w:rsid w:val="002A1E38"/>
    <w:rsid w:val="002A3A40"/>
    <w:rsid w:val="002A57DE"/>
    <w:rsid w:val="002A5953"/>
    <w:rsid w:val="002A5BC5"/>
    <w:rsid w:val="002A68AD"/>
    <w:rsid w:val="002A6C49"/>
    <w:rsid w:val="002A6F94"/>
    <w:rsid w:val="002A6FC8"/>
    <w:rsid w:val="002A7748"/>
    <w:rsid w:val="002A7D90"/>
    <w:rsid w:val="002B030B"/>
    <w:rsid w:val="002B06BE"/>
    <w:rsid w:val="002B0B45"/>
    <w:rsid w:val="002B24B7"/>
    <w:rsid w:val="002B2D94"/>
    <w:rsid w:val="002B4017"/>
    <w:rsid w:val="002B50EA"/>
    <w:rsid w:val="002B5174"/>
    <w:rsid w:val="002B5667"/>
    <w:rsid w:val="002B57BF"/>
    <w:rsid w:val="002B657D"/>
    <w:rsid w:val="002B65BD"/>
    <w:rsid w:val="002B6FEB"/>
    <w:rsid w:val="002B7436"/>
    <w:rsid w:val="002C0964"/>
    <w:rsid w:val="002C0B42"/>
    <w:rsid w:val="002C0E1F"/>
    <w:rsid w:val="002C1674"/>
    <w:rsid w:val="002C2069"/>
    <w:rsid w:val="002C3681"/>
    <w:rsid w:val="002C3827"/>
    <w:rsid w:val="002C383F"/>
    <w:rsid w:val="002C4092"/>
    <w:rsid w:val="002C41B4"/>
    <w:rsid w:val="002C4478"/>
    <w:rsid w:val="002C6272"/>
    <w:rsid w:val="002C7263"/>
    <w:rsid w:val="002D0281"/>
    <w:rsid w:val="002D0E4C"/>
    <w:rsid w:val="002D1160"/>
    <w:rsid w:val="002D1C5F"/>
    <w:rsid w:val="002D297B"/>
    <w:rsid w:val="002D34A9"/>
    <w:rsid w:val="002D390A"/>
    <w:rsid w:val="002D465B"/>
    <w:rsid w:val="002D60C1"/>
    <w:rsid w:val="002D6FE0"/>
    <w:rsid w:val="002D7365"/>
    <w:rsid w:val="002D7489"/>
    <w:rsid w:val="002D7690"/>
    <w:rsid w:val="002E04F1"/>
    <w:rsid w:val="002E13A9"/>
    <w:rsid w:val="002E3734"/>
    <w:rsid w:val="002E3839"/>
    <w:rsid w:val="002E3ED0"/>
    <w:rsid w:val="002E55F2"/>
    <w:rsid w:val="002E572C"/>
    <w:rsid w:val="002E58E0"/>
    <w:rsid w:val="002E597F"/>
    <w:rsid w:val="002E678D"/>
    <w:rsid w:val="002F04A6"/>
    <w:rsid w:val="002F07FD"/>
    <w:rsid w:val="002F0A56"/>
    <w:rsid w:val="002F0EA6"/>
    <w:rsid w:val="002F1DBD"/>
    <w:rsid w:val="002F22D6"/>
    <w:rsid w:val="002F26F1"/>
    <w:rsid w:val="002F2FEC"/>
    <w:rsid w:val="002F33B9"/>
    <w:rsid w:val="002F3460"/>
    <w:rsid w:val="002F4A92"/>
    <w:rsid w:val="002F566C"/>
    <w:rsid w:val="002F63E0"/>
    <w:rsid w:val="002F64B3"/>
    <w:rsid w:val="002F780E"/>
    <w:rsid w:val="002F7850"/>
    <w:rsid w:val="0030148C"/>
    <w:rsid w:val="00301522"/>
    <w:rsid w:val="0030159D"/>
    <w:rsid w:val="00301CE9"/>
    <w:rsid w:val="00302175"/>
    <w:rsid w:val="00303439"/>
    <w:rsid w:val="0030370F"/>
    <w:rsid w:val="003037EF"/>
    <w:rsid w:val="00303E96"/>
    <w:rsid w:val="0030542E"/>
    <w:rsid w:val="003058B5"/>
    <w:rsid w:val="00305FBA"/>
    <w:rsid w:val="00306111"/>
    <w:rsid w:val="003068A4"/>
    <w:rsid w:val="00306D1F"/>
    <w:rsid w:val="003103FD"/>
    <w:rsid w:val="00310633"/>
    <w:rsid w:val="0031087C"/>
    <w:rsid w:val="00310C53"/>
    <w:rsid w:val="00310F6A"/>
    <w:rsid w:val="00311BC8"/>
    <w:rsid w:val="003137DE"/>
    <w:rsid w:val="0031419C"/>
    <w:rsid w:val="003147BC"/>
    <w:rsid w:val="00314C96"/>
    <w:rsid w:val="00315121"/>
    <w:rsid w:val="003154E9"/>
    <w:rsid w:val="00315CA4"/>
    <w:rsid w:val="00315D27"/>
    <w:rsid w:val="00315F73"/>
    <w:rsid w:val="003166E1"/>
    <w:rsid w:val="003168DF"/>
    <w:rsid w:val="00316B7D"/>
    <w:rsid w:val="00316C59"/>
    <w:rsid w:val="00317344"/>
    <w:rsid w:val="00317529"/>
    <w:rsid w:val="003176FF"/>
    <w:rsid w:val="0032008F"/>
    <w:rsid w:val="003200CC"/>
    <w:rsid w:val="003205D1"/>
    <w:rsid w:val="00320B57"/>
    <w:rsid w:val="00320D13"/>
    <w:rsid w:val="0032195E"/>
    <w:rsid w:val="00321B91"/>
    <w:rsid w:val="00321DC6"/>
    <w:rsid w:val="003222C4"/>
    <w:rsid w:val="003223C7"/>
    <w:rsid w:val="003225DB"/>
    <w:rsid w:val="003227D5"/>
    <w:rsid w:val="00322F6B"/>
    <w:rsid w:val="00323901"/>
    <w:rsid w:val="00324A18"/>
    <w:rsid w:val="00325C5B"/>
    <w:rsid w:val="00326484"/>
    <w:rsid w:val="003264E5"/>
    <w:rsid w:val="003267B8"/>
    <w:rsid w:val="00326C58"/>
    <w:rsid w:val="0032797B"/>
    <w:rsid w:val="00327A72"/>
    <w:rsid w:val="00330C1E"/>
    <w:rsid w:val="00330EBD"/>
    <w:rsid w:val="00331B49"/>
    <w:rsid w:val="00331FF6"/>
    <w:rsid w:val="0033218B"/>
    <w:rsid w:val="0033428D"/>
    <w:rsid w:val="003347FD"/>
    <w:rsid w:val="00335313"/>
    <w:rsid w:val="0033575A"/>
    <w:rsid w:val="00335830"/>
    <w:rsid w:val="00335B70"/>
    <w:rsid w:val="003406E7"/>
    <w:rsid w:val="003407BF"/>
    <w:rsid w:val="00340FCD"/>
    <w:rsid w:val="00341C3C"/>
    <w:rsid w:val="0034257C"/>
    <w:rsid w:val="00342AF0"/>
    <w:rsid w:val="003430E4"/>
    <w:rsid w:val="00343AA4"/>
    <w:rsid w:val="00344015"/>
    <w:rsid w:val="00344102"/>
    <w:rsid w:val="003446E5"/>
    <w:rsid w:val="0034488C"/>
    <w:rsid w:val="0034560F"/>
    <w:rsid w:val="00345F1E"/>
    <w:rsid w:val="00346703"/>
    <w:rsid w:val="00347716"/>
    <w:rsid w:val="00347A4F"/>
    <w:rsid w:val="00350CC2"/>
    <w:rsid w:val="00350E11"/>
    <w:rsid w:val="00351EBC"/>
    <w:rsid w:val="00352383"/>
    <w:rsid w:val="00352612"/>
    <w:rsid w:val="003538BF"/>
    <w:rsid w:val="00353CCE"/>
    <w:rsid w:val="00354731"/>
    <w:rsid w:val="00354AFA"/>
    <w:rsid w:val="00354C20"/>
    <w:rsid w:val="0035557A"/>
    <w:rsid w:val="0035558A"/>
    <w:rsid w:val="00355F3D"/>
    <w:rsid w:val="003560A6"/>
    <w:rsid w:val="003573FA"/>
    <w:rsid w:val="00357940"/>
    <w:rsid w:val="00360025"/>
    <w:rsid w:val="003600EE"/>
    <w:rsid w:val="00360C5C"/>
    <w:rsid w:val="003618BF"/>
    <w:rsid w:val="00362157"/>
    <w:rsid w:val="0036317D"/>
    <w:rsid w:val="00363C09"/>
    <w:rsid w:val="003642D4"/>
    <w:rsid w:val="0036430F"/>
    <w:rsid w:val="00364B06"/>
    <w:rsid w:val="00365066"/>
    <w:rsid w:val="00365073"/>
    <w:rsid w:val="003652BA"/>
    <w:rsid w:val="00365335"/>
    <w:rsid w:val="00366827"/>
    <w:rsid w:val="00366AC5"/>
    <w:rsid w:val="00366B1E"/>
    <w:rsid w:val="003679F9"/>
    <w:rsid w:val="00370616"/>
    <w:rsid w:val="0037088A"/>
    <w:rsid w:val="00371559"/>
    <w:rsid w:val="00371CDF"/>
    <w:rsid w:val="00371CF3"/>
    <w:rsid w:val="00372DDE"/>
    <w:rsid w:val="00373040"/>
    <w:rsid w:val="00373183"/>
    <w:rsid w:val="00373AE0"/>
    <w:rsid w:val="003744C6"/>
    <w:rsid w:val="00374A98"/>
    <w:rsid w:val="00374B86"/>
    <w:rsid w:val="003753C7"/>
    <w:rsid w:val="00375764"/>
    <w:rsid w:val="00377E6B"/>
    <w:rsid w:val="003815C6"/>
    <w:rsid w:val="00381B0B"/>
    <w:rsid w:val="00382322"/>
    <w:rsid w:val="003823B5"/>
    <w:rsid w:val="00383FAB"/>
    <w:rsid w:val="00384741"/>
    <w:rsid w:val="003847F2"/>
    <w:rsid w:val="003854FB"/>
    <w:rsid w:val="0038563D"/>
    <w:rsid w:val="00385870"/>
    <w:rsid w:val="0038671D"/>
    <w:rsid w:val="003868C5"/>
    <w:rsid w:val="00386A71"/>
    <w:rsid w:val="00386C30"/>
    <w:rsid w:val="003873A3"/>
    <w:rsid w:val="003878DE"/>
    <w:rsid w:val="00390AC6"/>
    <w:rsid w:val="003915F0"/>
    <w:rsid w:val="00391891"/>
    <w:rsid w:val="00391EBD"/>
    <w:rsid w:val="00392252"/>
    <w:rsid w:val="003926B1"/>
    <w:rsid w:val="00392CA3"/>
    <w:rsid w:val="00392DCD"/>
    <w:rsid w:val="0039326E"/>
    <w:rsid w:val="00393BB4"/>
    <w:rsid w:val="00393FD8"/>
    <w:rsid w:val="0039416B"/>
    <w:rsid w:val="00394C6F"/>
    <w:rsid w:val="003958A6"/>
    <w:rsid w:val="00395C6A"/>
    <w:rsid w:val="00396768"/>
    <w:rsid w:val="0039687F"/>
    <w:rsid w:val="00396DEB"/>
    <w:rsid w:val="0039758D"/>
    <w:rsid w:val="003A040F"/>
    <w:rsid w:val="003A1189"/>
    <w:rsid w:val="003A1DCF"/>
    <w:rsid w:val="003A223D"/>
    <w:rsid w:val="003A267A"/>
    <w:rsid w:val="003A291B"/>
    <w:rsid w:val="003A3000"/>
    <w:rsid w:val="003A417B"/>
    <w:rsid w:val="003A44B8"/>
    <w:rsid w:val="003A5260"/>
    <w:rsid w:val="003A5A8D"/>
    <w:rsid w:val="003A5F19"/>
    <w:rsid w:val="003A5FAD"/>
    <w:rsid w:val="003A69EF"/>
    <w:rsid w:val="003A6DC0"/>
    <w:rsid w:val="003A71F2"/>
    <w:rsid w:val="003A7609"/>
    <w:rsid w:val="003B055B"/>
    <w:rsid w:val="003B05C5"/>
    <w:rsid w:val="003B18CA"/>
    <w:rsid w:val="003B23DB"/>
    <w:rsid w:val="003B26BF"/>
    <w:rsid w:val="003B2C77"/>
    <w:rsid w:val="003B36EE"/>
    <w:rsid w:val="003B390E"/>
    <w:rsid w:val="003B39D9"/>
    <w:rsid w:val="003B3BAA"/>
    <w:rsid w:val="003B4468"/>
    <w:rsid w:val="003B4906"/>
    <w:rsid w:val="003B558D"/>
    <w:rsid w:val="003B5753"/>
    <w:rsid w:val="003B642E"/>
    <w:rsid w:val="003B66A4"/>
    <w:rsid w:val="003B66F1"/>
    <w:rsid w:val="003B6E15"/>
    <w:rsid w:val="003B7033"/>
    <w:rsid w:val="003B77A4"/>
    <w:rsid w:val="003B7B7F"/>
    <w:rsid w:val="003B7E30"/>
    <w:rsid w:val="003B7E70"/>
    <w:rsid w:val="003C0CF8"/>
    <w:rsid w:val="003C1EC3"/>
    <w:rsid w:val="003C22A9"/>
    <w:rsid w:val="003C2B25"/>
    <w:rsid w:val="003C35AA"/>
    <w:rsid w:val="003C389E"/>
    <w:rsid w:val="003C3E40"/>
    <w:rsid w:val="003C486C"/>
    <w:rsid w:val="003C56A7"/>
    <w:rsid w:val="003C5D17"/>
    <w:rsid w:val="003C6237"/>
    <w:rsid w:val="003C68BC"/>
    <w:rsid w:val="003C6B4E"/>
    <w:rsid w:val="003D0599"/>
    <w:rsid w:val="003D191B"/>
    <w:rsid w:val="003D1A40"/>
    <w:rsid w:val="003D1D02"/>
    <w:rsid w:val="003D1DFB"/>
    <w:rsid w:val="003D1E96"/>
    <w:rsid w:val="003D210C"/>
    <w:rsid w:val="003D212B"/>
    <w:rsid w:val="003D2D2B"/>
    <w:rsid w:val="003D367C"/>
    <w:rsid w:val="003D37EF"/>
    <w:rsid w:val="003D380B"/>
    <w:rsid w:val="003D3A3A"/>
    <w:rsid w:val="003D3DD8"/>
    <w:rsid w:val="003D4C1E"/>
    <w:rsid w:val="003D7255"/>
    <w:rsid w:val="003D72B2"/>
    <w:rsid w:val="003E0C18"/>
    <w:rsid w:val="003E0D0C"/>
    <w:rsid w:val="003E1809"/>
    <w:rsid w:val="003E22D9"/>
    <w:rsid w:val="003E2409"/>
    <w:rsid w:val="003E251A"/>
    <w:rsid w:val="003E31A7"/>
    <w:rsid w:val="003E370F"/>
    <w:rsid w:val="003E3EB5"/>
    <w:rsid w:val="003E4F52"/>
    <w:rsid w:val="003E5EA2"/>
    <w:rsid w:val="003E6386"/>
    <w:rsid w:val="003F0105"/>
    <w:rsid w:val="003F0218"/>
    <w:rsid w:val="003F02D1"/>
    <w:rsid w:val="003F03C4"/>
    <w:rsid w:val="003F06F5"/>
    <w:rsid w:val="003F0EBB"/>
    <w:rsid w:val="003F15DB"/>
    <w:rsid w:val="003F186B"/>
    <w:rsid w:val="003F19C8"/>
    <w:rsid w:val="003F1B8B"/>
    <w:rsid w:val="003F1F9C"/>
    <w:rsid w:val="003F2070"/>
    <w:rsid w:val="003F3B67"/>
    <w:rsid w:val="003F44DA"/>
    <w:rsid w:val="003F502A"/>
    <w:rsid w:val="003F560A"/>
    <w:rsid w:val="003F64B7"/>
    <w:rsid w:val="003F7B89"/>
    <w:rsid w:val="003F7F74"/>
    <w:rsid w:val="00400380"/>
    <w:rsid w:val="004007A8"/>
    <w:rsid w:val="00400A46"/>
    <w:rsid w:val="00400DF1"/>
    <w:rsid w:val="00400F6F"/>
    <w:rsid w:val="00401040"/>
    <w:rsid w:val="0040108E"/>
    <w:rsid w:val="00401E4D"/>
    <w:rsid w:val="00402DC9"/>
    <w:rsid w:val="004031F5"/>
    <w:rsid w:val="004037BC"/>
    <w:rsid w:val="00404585"/>
    <w:rsid w:val="004046A0"/>
    <w:rsid w:val="00404F0D"/>
    <w:rsid w:val="00405B22"/>
    <w:rsid w:val="00405CE8"/>
    <w:rsid w:val="00405F98"/>
    <w:rsid w:val="004070F6"/>
    <w:rsid w:val="00407D28"/>
    <w:rsid w:val="00410184"/>
    <w:rsid w:val="004102BA"/>
    <w:rsid w:val="004105C1"/>
    <w:rsid w:val="00410AF8"/>
    <w:rsid w:val="004120A9"/>
    <w:rsid w:val="00412419"/>
    <w:rsid w:val="00412811"/>
    <w:rsid w:val="0041285B"/>
    <w:rsid w:val="004132F8"/>
    <w:rsid w:val="004135EC"/>
    <w:rsid w:val="00413E59"/>
    <w:rsid w:val="00413F21"/>
    <w:rsid w:val="0041451E"/>
    <w:rsid w:val="00415242"/>
    <w:rsid w:val="00415B03"/>
    <w:rsid w:val="00415D95"/>
    <w:rsid w:val="0041600E"/>
    <w:rsid w:val="004170BD"/>
    <w:rsid w:val="0042043A"/>
    <w:rsid w:val="00420D8E"/>
    <w:rsid w:val="00421245"/>
    <w:rsid w:val="004217F2"/>
    <w:rsid w:val="00422344"/>
    <w:rsid w:val="00422839"/>
    <w:rsid w:val="00422D2C"/>
    <w:rsid w:val="004246E2"/>
    <w:rsid w:val="00426016"/>
    <w:rsid w:val="0042640F"/>
    <w:rsid w:val="00426F69"/>
    <w:rsid w:val="004277C9"/>
    <w:rsid w:val="00427845"/>
    <w:rsid w:val="00427C5B"/>
    <w:rsid w:val="00430C37"/>
    <w:rsid w:val="004311A6"/>
    <w:rsid w:val="004313E4"/>
    <w:rsid w:val="0043207F"/>
    <w:rsid w:val="00433AB2"/>
    <w:rsid w:val="004341CE"/>
    <w:rsid w:val="0043425E"/>
    <w:rsid w:val="004352C6"/>
    <w:rsid w:val="00436B37"/>
    <w:rsid w:val="00436F32"/>
    <w:rsid w:val="00437E73"/>
    <w:rsid w:val="00437EE1"/>
    <w:rsid w:val="0044012E"/>
    <w:rsid w:val="004404C9"/>
    <w:rsid w:val="0044092A"/>
    <w:rsid w:val="0044192D"/>
    <w:rsid w:val="00442813"/>
    <w:rsid w:val="00445A6C"/>
    <w:rsid w:val="00445DF0"/>
    <w:rsid w:val="00445FB0"/>
    <w:rsid w:val="00446AF8"/>
    <w:rsid w:val="00447042"/>
    <w:rsid w:val="004474BB"/>
    <w:rsid w:val="00447699"/>
    <w:rsid w:val="00447D67"/>
    <w:rsid w:val="004502B3"/>
    <w:rsid w:val="004514B9"/>
    <w:rsid w:val="004517E7"/>
    <w:rsid w:val="004518BA"/>
    <w:rsid w:val="00451FFC"/>
    <w:rsid w:val="00452299"/>
    <w:rsid w:val="00452758"/>
    <w:rsid w:val="004528D9"/>
    <w:rsid w:val="00452C9D"/>
    <w:rsid w:val="00452CC7"/>
    <w:rsid w:val="00452CF6"/>
    <w:rsid w:val="004535B5"/>
    <w:rsid w:val="004536F4"/>
    <w:rsid w:val="0045371C"/>
    <w:rsid w:val="00455294"/>
    <w:rsid w:val="00455793"/>
    <w:rsid w:val="00456B3F"/>
    <w:rsid w:val="00456CF0"/>
    <w:rsid w:val="004600A2"/>
    <w:rsid w:val="004615B1"/>
    <w:rsid w:val="004620D4"/>
    <w:rsid w:val="004622B0"/>
    <w:rsid w:val="00463DD6"/>
    <w:rsid w:val="0046422B"/>
    <w:rsid w:val="00465696"/>
    <w:rsid w:val="004669D2"/>
    <w:rsid w:val="00466BAF"/>
    <w:rsid w:val="00467661"/>
    <w:rsid w:val="00467B05"/>
    <w:rsid w:val="00470431"/>
    <w:rsid w:val="0047169D"/>
    <w:rsid w:val="00471AD7"/>
    <w:rsid w:val="0047317E"/>
    <w:rsid w:val="00473CBE"/>
    <w:rsid w:val="00474494"/>
    <w:rsid w:val="00474D0B"/>
    <w:rsid w:val="00474EB5"/>
    <w:rsid w:val="0047599D"/>
    <w:rsid w:val="00475A5C"/>
    <w:rsid w:val="00476043"/>
    <w:rsid w:val="00476753"/>
    <w:rsid w:val="00476B1B"/>
    <w:rsid w:val="004771E3"/>
    <w:rsid w:val="004775B7"/>
    <w:rsid w:val="00477AD6"/>
    <w:rsid w:val="00477BBD"/>
    <w:rsid w:val="004815E9"/>
    <w:rsid w:val="00481BEA"/>
    <w:rsid w:val="00481C92"/>
    <w:rsid w:val="00482BA6"/>
    <w:rsid w:val="00482EBB"/>
    <w:rsid w:val="00484342"/>
    <w:rsid w:val="00484E8E"/>
    <w:rsid w:val="004851A6"/>
    <w:rsid w:val="00485431"/>
    <w:rsid w:val="00485984"/>
    <w:rsid w:val="00486D17"/>
    <w:rsid w:val="00486D38"/>
    <w:rsid w:val="004876F6"/>
    <w:rsid w:val="00487B45"/>
    <w:rsid w:val="004905B3"/>
    <w:rsid w:val="0049159F"/>
    <w:rsid w:val="00491CC9"/>
    <w:rsid w:val="00492312"/>
    <w:rsid w:val="0049249F"/>
    <w:rsid w:val="004926C3"/>
    <w:rsid w:val="00492BFB"/>
    <w:rsid w:val="00492C46"/>
    <w:rsid w:val="0049393F"/>
    <w:rsid w:val="00493CB0"/>
    <w:rsid w:val="00493F7F"/>
    <w:rsid w:val="00494024"/>
    <w:rsid w:val="00494DE4"/>
    <w:rsid w:val="00495467"/>
    <w:rsid w:val="00495513"/>
    <w:rsid w:val="004976D1"/>
    <w:rsid w:val="00497AD8"/>
    <w:rsid w:val="00497D2D"/>
    <w:rsid w:val="004A08B8"/>
    <w:rsid w:val="004A108F"/>
    <w:rsid w:val="004A1871"/>
    <w:rsid w:val="004A2233"/>
    <w:rsid w:val="004A2B1F"/>
    <w:rsid w:val="004A348F"/>
    <w:rsid w:val="004A38F0"/>
    <w:rsid w:val="004A4626"/>
    <w:rsid w:val="004A4BA7"/>
    <w:rsid w:val="004A56B5"/>
    <w:rsid w:val="004A6AD5"/>
    <w:rsid w:val="004A6D6D"/>
    <w:rsid w:val="004A77A1"/>
    <w:rsid w:val="004B0A7E"/>
    <w:rsid w:val="004B0E50"/>
    <w:rsid w:val="004B21CF"/>
    <w:rsid w:val="004B2B4F"/>
    <w:rsid w:val="004B2D5A"/>
    <w:rsid w:val="004B32CF"/>
    <w:rsid w:val="004B34CF"/>
    <w:rsid w:val="004B397A"/>
    <w:rsid w:val="004B39BC"/>
    <w:rsid w:val="004B4918"/>
    <w:rsid w:val="004B63A9"/>
    <w:rsid w:val="004B6538"/>
    <w:rsid w:val="004B6788"/>
    <w:rsid w:val="004B7983"/>
    <w:rsid w:val="004B7A15"/>
    <w:rsid w:val="004B7FE5"/>
    <w:rsid w:val="004C1848"/>
    <w:rsid w:val="004C1D18"/>
    <w:rsid w:val="004C2BF0"/>
    <w:rsid w:val="004C3CE1"/>
    <w:rsid w:val="004C3D6E"/>
    <w:rsid w:val="004C3F8D"/>
    <w:rsid w:val="004C4127"/>
    <w:rsid w:val="004C44C9"/>
    <w:rsid w:val="004C4CA8"/>
    <w:rsid w:val="004C5480"/>
    <w:rsid w:val="004C5AC9"/>
    <w:rsid w:val="004C5D1D"/>
    <w:rsid w:val="004D0208"/>
    <w:rsid w:val="004D0D17"/>
    <w:rsid w:val="004D1386"/>
    <w:rsid w:val="004D1395"/>
    <w:rsid w:val="004D1C82"/>
    <w:rsid w:val="004D22BB"/>
    <w:rsid w:val="004D2C5A"/>
    <w:rsid w:val="004D3D11"/>
    <w:rsid w:val="004D4C4A"/>
    <w:rsid w:val="004D5027"/>
    <w:rsid w:val="004D5211"/>
    <w:rsid w:val="004D623A"/>
    <w:rsid w:val="004D6612"/>
    <w:rsid w:val="004D6763"/>
    <w:rsid w:val="004D6D0B"/>
    <w:rsid w:val="004D79ED"/>
    <w:rsid w:val="004E04E2"/>
    <w:rsid w:val="004E10CD"/>
    <w:rsid w:val="004E1A8B"/>
    <w:rsid w:val="004E1E8A"/>
    <w:rsid w:val="004E2155"/>
    <w:rsid w:val="004E334E"/>
    <w:rsid w:val="004E57B9"/>
    <w:rsid w:val="004E61EC"/>
    <w:rsid w:val="004E63E2"/>
    <w:rsid w:val="004E65EB"/>
    <w:rsid w:val="004E7671"/>
    <w:rsid w:val="004E7EFA"/>
    <w:rsid w:val="004F03B1"/>
    <w:rsid w:val="004F0C19"/>
    <w:rsid w:val="004F0C70"/>
    <w:rsid w:val="004F103E"/>
    <w:rsid w:val="004F1C0C"/>
    <w:rsid w:val="004F20E5"/>
    <w:rsid w:val="004F33C4"/>
    <w:rsid w:val="004F3530"/>
    <w:rsid w:val="004F36D1"/>
    <w:rsid w:val="004F46CB"/>
    <w:rsid w:val="004F49B8"/>
    <w:rsid w:val="004F5E54"/>
    <w:rsid w:val="004F69EE"/>
    <w:rsid w:val="004F6C9F"/>
    <w:rsid w:val="004F73A1"/>
    <w:rsid w:val="004F7481"/>
    <w:rsid w:val="005004AB"/>
    <w:rsid w:val="00500BD6"/>
    <w:rsid w:val="00500E7D"/>
    <w:rsid w:val="0050115F"/>
    <w:rsid w:val="0050191C"/>
    <w:rsid w:val="0050268A"/>
    <w:rsid w:val="00503752"/>
    <w:rsid w:val="00503F05"/>
    <w:rsid w:val="005051A4"/>
    <w:rsid w:val="00505346"/>
    <w:rsid w:val="00505488"/>
    <w:rsid w:val="00505852"/>
    <w:rsid w:val="0050663B"/>
    <w:rsid w:val="00507273"/>
    <w:rsid w:val="00507C79"/>
    <w:rsid w:val="0051051B"/>
    <w:rsid w:val="00510805"/>
    <w:rsid w:val="00510A70"/>
    <w:rsid w:val="00511617"/>
    <w:rsid w:val="00511E47"/>
    <w:rsid w:val="005120BA"/>
    <w:rsid w:val="00512E8F"/>
    <w:rsid w:val="005130A9"/>
    <w:rsid w:val="00513ABB"/>
    <w:rsid w:val="00513D17"/>
    <w:rsid w:val="00514038"/>
    <w:rsid w:val="00514600"/>
    <w:rsid w:val="0051652E"/>
    <w:rsid w:val="00516DA0"/>
    <w:rsid w:val="0051783C"/>
    <w:rsid w:val="00517DCA"/>
    <w:rsid w:val="005200FA"/>
    <w:rsid w:val="005207A1"/>
    <w:rsid w:val="00520CA8"/>
    <w:rsid w:val="0052165F"/>
    <w:rsid w:val="00522AD0"/>
    <w:rsid w:val="00522CC6"/>
    <w:rsid w:val="00523219"/>
    <w:rsid w:val="00523ED3"/>
    <w:rsid w:val="00525052"/>
    <w:rsid w:val="005256C5"/>
    <w:rsid w:val="005259E3"/>
    <w:rsid w:val="00526076"/>
    <w:rsid w:val="00526770"/>
    <w:rsid w:val="00526F34"/>
    <w:rsid w:val="00527B68"/>
    <w:rsid w:val="00527E63"/>
    <w:rsid w:val="00531A36"/>
    <w:rsid w:val="005322A3"/>
    <w:rsid w:val="005326A1"/>
    <w:rsid w:val="0053358F"/>
    <w:rsid w:val="00533DBD"/>
    <w:rsid w:val="00534D73"/>
    <w:rsid w:val="005356FF"/>
    <w:rsid w:val="00535B74"/>
    <w:rsid w:val="00535FC9"/>
    <w:rsid w:val="00536D92"/>
    <w:rsid w:val="005376F8"/>
    <w:rsid w:val="005379E5"/>
    <w:rsid w:val="00537C6F"/>
    <w:rsid w:val="00537CC8"/>
    <w:rsid w:val="00541A1C"/>
    <w:rsid w:val="00541B35"/>
    <w:rsid w:val="00541D60"/>
    <w:rsid w:val="00542F64"/>
    <w:rsid w:val="00543738"/>
    <w:rsid w:val="00543DDA"/>
    <w:rsid w:val="00544339"/>
    <w:rsid w:val="00544A0B"/>
    <w:rsid w:val="00545926"/>
    <w:rsid w:val="00546523"/>
    <w:rsid w:val="00547976"/>
    <w:rsid w:val="00547E01"/>
    <w:rsid w:val="0055137F"/>
    <w:rsid w:val="0055224F"/>
    <w:rsid w:val="005529F5"/>
    <w:rsid w:val="00552CC9"/>
    <w:rsid w:val="00553FC3"/>
    <w:rsid w:val="00554A84"/>
    <w:rsid w:val="005556BE"/>
    <w:rsid w:val="00555946"/>
    <w:rsid w:val="00556116"/>
    <w:rsid w:val="0055686C"/>
    <w:rsid w:val="00557218"/>
    <w:rsid w:val="005604D7"/>
    <w:rsid w:val="0056093A"/>
    <w:rsid w:val="00560F73"/>
    <w:rsid w:val="0056129A"/>
    <w:rsid w:val="00561476"/>
    <w:rsid w:val="00561C97"/>
    <w:rsid w:val="00563220"/>
    <w:rsid w:val="00563811"/>
    <w:rsid w:val="00563B8D"/>
    <w:rsid w:val="005640E0"/>
    <w:rsid w:val="00564129"/>
    <w:rsid w:val="00564226"/>
    <w:rsid w:val="005647E8"/>
    <w:rsid w:val="00564E29"/>
    <w:rsid w:val="00564F2B"/>
    <w:rsid w:val="00565A12"/>
    <w:rsid w:val="00566C5C"/>
    <w:rsid w:val="00567C5F"/>
    <w:rsid w:val="005703FD"/>
    <w:rsid w:val="005708ED"/>
    <w:rsid w:val="00570BBB"/>
    <w:rsid w:val="0057161B"/>
    <w:rsid w:val="00571D50"/>
    <w:rsid w:val="00572A11"/>
    <w:rsid w:val="00572A76"/>
    <w:rsid w:val="00572D63"/>
    <w:rsid w:val="005731BB"/>
    <w:rsid w:val="00574789"/>
    <w:rsid w:val="00574A56"/>
    <w:rsid w:val="005751E0"/>
    <w:rsid w:val="00576033"/>
    <w:rsid w:val="00576C31"/>
    <w:rsid w:val="005775A9"/>
    <w:rsid w:val="005777C2"/>
    <w:rsid w:val="00581532"/>
    <w:rsid w:val="005815A0"/>
    <w:rsid w:val="00581B73"/>
    <w:rsid w:val="00582BD0"/>
    <w:rsid w:val="0058305A"/>
    <w:rsid w:val="0058313C"/>
    <w:rsid w:val="00583E15"/>
    <w:rsid w:val="00584104"/>
    <w:rsid w:val="005844E2"/>
    <w:rsid w:val="0058510C"/>
    <w:rsid w:val="0058557F"/>
    <w:rsid w:val="00585888"/>
    <w:rsid w:val="00586627"/>
    <w:rsid w:val="00586961"/>
    <w:rsid w:val="0058709C"/>
    <w:rsid w:val="00590523"/>
    <w:rsid w:val="00590BA1"/>
    <w:rsid w:val="00590C9C"/>
    <w:rsid w:val="00590D00"/>
    <w:rsid w:val="005915B9"/>
    <w:rsid w:val="0059236E"/>
    <w:rsid w:val="0059286D"/>
    <w:rsid w:val="00593331"/>
    <w:rsid w:val="00593D6A"/>
    <w:rsid w:val="00594014"/>
    <w:rsid w:val="005940B9"/>
    <w:rsid w:val="00594BCF"/>
    <w:rsid w:val="005951BD"/>
    <w:rsid w:val="005957EA"/>
    <w:rsid w:val="0059656D"/>
    <w:rsid w:val="00597537"/>
    <w:rsid w:val="0059791C"/>
    <w:rsid w:val="00597A5E"/>
    <w:rsid w:val="00597C41"/>
    <w:rsid w:val="005A012F"/>
    <w:rsid w:val="005A0193"/>
    <w:rsid w:val="005A0F2F"/>
    <w:rsid w:val="005A0F44"/>
    <w:rsid w:val="005A109F"/>
    <w:rsid w:val="005A10F5"/>
    <w:rsid w:val="005A12E6"/>
    <w:rsid w:val="005A37F6"/>
    <w:rsid w:val="005A3813"/>
    <w:rsid w:val="005A4023"/>
    <w:rsid w:val="005A61EE"/>
    <w:rsid w:val="005A62AE"/>
    <w:rsid w:val="005A77FD"/>
    <w:rsid w:val="005A7969"/>
    <w:rsid w:val="005A7B27"/>
    <w:rsid w:val="005B05E9"/>
    <w:rsid w:val="005B07DA"/>
    <w:rsid w:val="005B1A2F"/>
    <w:rsid w:val="005B20E1"/>
    <w:rsid w:val="005B2BBD"/>
    <w:rsid w:val="005B340D"/>
    <w:rsid w:val="005B34ED"/>
    <w:rsid w:val="005B3AC9"/>
    <w:rsid w:val="005B4A10"/>
    <w:rsid w:val="005B57EF"/>
    <w:rsid w:val="005B65E1"/>
    <w:rsid w:val="005B67F9"/>
    <w:rsid w:val="005B6B0B"/>
    <w:rsid w:val="005B731A"/>
    <w:rsid w:val="005B7486"/>
    <w:rsid w:val="005C04DB"/>
    <w:rsid w:val="005C0D00"/>
    <w:rsid w:val="005C1803"/>
    <w:rsid w:val="005C1F27"/>
    <w:rsid w:val="005C2751"/>
    <w:rsid w:val="005C293D"/>
    <w:rsid w:val="005C3CD0"/>
    <w:rsid w:val="005C4C72"/>
    <w:rsid w:val="005C5137"/>
    <w:rsid w:val="005C5377"/>
    <w:rsid w:val="005C547C"/>
    <w:rsid w:val="005C6B0B"/>
    <w:rsid w:val="005C6DAC"/>
    <w:rsid w:val="005C73CF"/>
    <w:rsid w:val="005C75C7"/>
    <w:rsid w:val="005C7B12"/>
    <w:rsid w:val="005D00D5"/>
    <w:rsid w:val="005D0A84"/>
    <w:rsid w:val="005D0E8C"/>
    <w:rsid w:val="005D135A"/>
    <w:rsid w:val="005D1C23"/>
    <w:rsid w:val="005D1DD0"/>
    <w:rsid w:val="005D1F5B"/>
    <w:rsid w:val="005D29D7"/>
    <w:rsid w:val="005D3EF6"/>
    <w:rsid w:val="005D4886"/>
    <w:rsid w:val="005D4C6F"/>
    <w:rsid w:val="005D4DC5"/>
    <w:rsid w:val="005D4E1C"/>
    <w:rsid w:val="005D4E47"/>
    <w:rsid w:val="005D5349"/>
    <w:rsid w:val="005D5533"/>
    <w:rsid w:val="005D6AB7"/>
    <w:rsid w:val="005D73E4"/>
    <w:rsid w:val="005D7BA5"/>
    <w:rsid w:val="005D7E66"/>
    <w:rsid w:val="005E0042"/>
    <w:rsid w:val="005E01B3"/>
    <w:rsid w:val="005E0220"/>
    <w:rsid w:val="005E20AC"/>
    <w:rsid w:val="005E2638"/>
    <w:rsid w:val="005E311D"/>
    <w:rsid w:val="005E45BB"/>
    <w:rsid w:val="005E46F8"/>
    <w:rsid w:val="005E4ECD"/>
    <w:rsid w:val="005E53DD"/>
    <w:rsid w:val="005E60EC"/>
    <w:rsid w:val="005E60FC"/>
    <w:rsid w:val="005E647B"/>
    <w:rsid w:val="005E6664"/>
    <w:rsid w:val="005E66F0"/>
    <w:rsid w:val="005E693E"/>
    <w:rsid w:val="005E69CA"/>
    <w:rsid w:val="005E6B7E"/>
    <w:rsid w:val="005E6BA2"/>
    <w:rsid w:val="005E6BC8"/>
    <w:rsid w:val="005E73C7"/>
    <w:rsid w:val="005E7475"/>
    <w:rsid w:val="005E791D"/>
    <w:rsid w:val="005E7949"/>
    <w:rsid w:val="005F1640"/>
    <w:rsid w:val="005F1664"/>
    <w:rsid w:val="005F1716"/>
    <w:rsid w:val="005F1C83"/>
    <w:rsid w:val="005F2621"/>
    <w:rsid w:val="005F28A7"/>
    <w:rsid w:val="005F28D9"/>
    <w:rsid w:val="005F2A73"/>
    <w:rsid w:val="005F2D88"/>
    <w:rsid w:val="005F3079"/>
    <w:rsid w:val="005F32B6"/>
    <w:rsid w:val="005F38DE"/>
    <w:rsid w:val="005F3C75"/>
    <w:rsid w:val="005F3ECB"/>
    <w:rsid w:val="005F41CB"/>
    <w:rsid w:val="005F436C"/>
    <w:rsid w:val="005F43E7"/>
    <w:rsid w:val="005F4415"/>
    <w:rsid w:val="005F4909"/>
    <w:rsid w:val="005F4ADB"/>
    <w:rsid w:val="005F5037"/>
    <w:rsid w:val="005F58E1"/>
    <w:rsid w:val="005F5B1A"/>
    <w:rsid w:val="005F6993"/>
    <w:rsid w:val="005F74D4"/>
    <w:rsid w:val="005F7B96"/>
    <w:rsid w:val="006000EB"/>
    <w:rsid w:val="006008D5"/>
    <w:rsid w:val="00600D7D"/>
    <w:rsid w:val="0060127F"/>
    <w:rsid w:val="00601ED7"/>
    <w:rsid w:val="006021C3"/>
    <w:rsid w:val="00602533"/>
    <w:rsid w:val="006025F4"/>
    <w:rsid w:val="006029A0"/>
    <w:rsid w:val="00603292"/>
    <w:rsid w:val="00603BE3"/>
    <w:rsid w:val="00604168"/>
    <w:rsid w:val="00605914"/>
    <w:rsid w:val="00605E11"/>
    <w:rsid w:val="0060639B"/>
    <w:rsid w:val="006068D5"/>
    <w:rsid w:val="00606AED"/>
    <w:rsid w:val="00610199"/>
    <w:rsid w:val="0061062B"/>
    <w:rsid w:val="00611593"/>
    <w:rsid w:val="00611DDF"/>
    <w:rsid w:val="00612414"/>
    <w:rsid w:val="006128E2"/>
    <w:rsid w:val="00612E81"/>
    <w:rsid w:val="006130E6"/>
    <w:rsid w:val="00613D5D"/>
    <w:rsid w:val="00613EAE"/>
    <w:rsid w:val="00614050"/>
    <w:rsid w:val="006141D6"/>
    <w:rsid w:val="006145FE"/>
    <w:rsid w:val="00614887"/>
    <w:rsid w:val="006148F4"/>
    <w:rsid w:val="00615FB3"/>
    <w:rsid w:val="0062077C"/>
    <w:rsid w:val="0062216D"/>
    <w:rsid w:val="00622CF0"/>
    <w:rsid w:val="006242A5"/>
    <w:rsid w:val="0062492E"/>
    <w:rsid w:val="0062508C"/>
    <w:rsid w:val="0062541E"/>
    <w:rsid w:val="00625501"/>
    <w:rsid w:val="006271BA"/>
    <w:rsid w:val="00627B37"/>
    <w:rsid w:val="00627D4F"/>
    <w:rsid w:val="00627FB2"/>
    <w:rsid w:val="00630000"/>
    <w:rsid w:val="00630E0E"/>
    <w:rsid w:val="00631084"/>
    <w:rsid w:val="0063117B"/>
    <w:rsid w:val="00631A7D"/>
    <w:rsid w:val="00631D98"/>
    <w:rsid w:val="00631F42"/>
    <w:rsid w:val="006337DA"/>
    <w:rsid w:val="00634115"/>
    <w:rsid w:val="00634D16"/>
    <w:rsid w:val="006369A8"/>
    <w:rsid w:val="00636D89"/>
    <w:rsid w:val="0063720C"/>
    <w:rsid w:val="0063739E"/>
    <w:rsid w:val="006378A6"/>
    <w:rsid w:val="00637993"/>
    <w:rsid w:val="006406AF"/>
    <w:rsid w:val="006411FF"/>
    <w:rsid w:val="006412B6"/>
    <w:rsid w:val="0064143C"/>
    <w:rsid w:val="0064145C"/>
    <w:rsid w:val="00642769"/>
    <w:rsid w:val="00643438"/>
    <w:rsid w:val="0064371E"/>
    <w:rsid w:val="006438E8"/>
    <w:rsid w:val="006438F8"/>
    <w:rsid w:val="00643F4B"/>
    <w:rsid w:val="00644053"/>
    <w:rsid w:val="00644B77"/>
    <w:rsid w:val="00644C3E"/>
    <w:rsid w:val="00644EA9"/>
    <w:rsid w:val="006459BF"/>
    <w:rsid w:val="00647DA5"/>
    <w:rsid w:val="00650176"/>
    <w:rsid w:val="006501EB"/>
    <w:rsid w:val="00650585"/>
    <w:rsid w:val="0065159C"/>
    <w:rsid w:val="006520E4"/>
    <w:rsid w:val="0065240B"/>
    <w:rsid w:val="0065394C"/>
    <w:rsid w:val="00653C13"/>
    <w:rsid w:val="006541B1"/>
    <w:rsid w:val="006559CB"/>
    <w:rsid w:val="006562F0"/>
    <w:rsid w:val="00656BB9"/>
    <w:rsid w:val="00656CAB"/>
    <w:rsid w:val="00657F5D"/>
    <w:rsid w:val="00660A06"/>
    <w:rsid w:val="00660B65"/>
    <w:rsid w:val="00660DA5"/>
    <w:rsid w:val="00661167"/>
    <w:rsid w:val="00661C94"/>
    <w:rsid w:val="00662599"/>
    <w:rsid w:val="006626C4"/>
    <w:rsid w:val="0066306B"/>
    <w:rsid w:val="00664121"/>
    <w:rsid w:val="00664A43"/>
    <w:rsid w:val="00664FB2"/>
    <w:rsid w:val="0066534F"/>
    <w:rsid w:val="00665E83"/>
    <w:rsid w:val="00666B68"/>
    <w:rsid w:val="006670FF"/>
    <w:rsid w:val="006671A6"/>
    <w:rsid w:val="006673A1"/>
    <w:rsid w:val="0066772E"/>
    <w:rsid w:val="00667EFA"/>
    <w:rsid w:val="006700FD"/>
    <w:rsid w:val="0067094B"/>
    <w:rsid w:val="006714DC"/>
    <w:rsid w:val="0067156D"/>
    <w:rsid w:val="00671AEA"/>
    <w:rsid w:val="00671B0C"/>
    <w:rsid w:val="00671BE6"/>
    <w:rsid w:val="00671E7C"/>
    <w:rsid w:val="006724E0"/>
    <w:rsid w:val="00672DB3"/>
    <w:rsid w:val="00673E46"/>
    <w:rsid w:val="00674CE4"/>
    <w:rsid w:val="00675253"/>
    <w:rsid w:val="00675472"/>
    <w:rsid w:val="0067658D"/>
    <w:rsid w:val="00676B88"/>
    <w:rsid w:val="00676D5F"/>
    <w:rsid w:val="006770E9"/>
    <w:rsid w:val="00677614"/>
    <w:rsid w:val="00680064"/>
    <w:rsid w:val="0068033A"/>
    <w:rsid w:val="006807A2"/>
    <w:rsid w:val="0068168C"/>
    <w:rsid w:val="00681E98"/>
    <w:rsid w:val="00681F93"/>
    <w:rsid w:val="00682074"/>
    <w:rsid w:val="00683774"/>
    <w:rsid w:val="00683A48"/>
    <w:rsid w:val="00684B40"/>
    <w:rsid w:val="00684C00"/>
    <w:rsid w:val="00684D22"/>
    <w:rsid w:val="00685468"/>
    <w:rsid w:val="0068584F"/>
    <w:rsid w:val="0068776C"/>
    <w:rsid w:val="00687A1B"/>
    <w:rsid w:val="006903E8"/>
    <w:rsid w:val="006907E0"/>
    <w:rsid w:val="00690EAC"/>
    <w:rsid w:val="00691145"/>
    <w:rsid w:val="00691352"/>
    <w:rsid w:val="006915BD"/>
    <w:rsid w:val="00692A1C"/>
    <w:rsid w:val="00692AE8"/>
    <w:rsid w:val="00693E10"/>
    <w:rsid w:val="0069461C"/>
    <w:rsid w:val="00694741"/>
    <w:rsid w:val="00694FFA"/>
    <w:rsid w:val="00695153"/>
    <w:rsid w:val="00695A18"/>
    <w:rsid w:val="00696466"/>
    <w:rsid w:val="00696B3B"/>
    <w:rsid w:val="00696CF7"/>
    <w:rsid w:val="00696E28"/>
    <w:rsid w:val="00697BFE"/>
    <w:rsid w:val="00697FA1"/>
    <w:rsid w:val="006A044A"/>
    <w:rsid w:val="006A094F"/>
    <w:rsid w:val="006A0990"/>
    <w:rsid w:val="006A0EBC"/>
    <w:rsid w:val="006A3BA9"/>
    <w:rsid w:val="006A55B3"/>
    <w:rsid w:val="006A5812"/>
    <w:rsid w:val="006A5E45"/>
    <w:rsid w:val="006A62C0"/>
    <w:rsid w:val="006A63DE"/>
    <w:rsid w:val="006A7B7B"/>
    <w:rsid w:val="006B0104"/>
    <w:rsid w:val="006B0249"/>
    <w:rsid w:val="006B1BB9"/>
    <w:rsid w:val="006B375D"/>
    <w:rsid w:val="006B4337"/>
    <w:rsid w:val="006B48B1"/>
    <w:rsid w:val="006B51B0"/>
    <w:rsid w:val="006B51B9"/>
    <w:rsid w:val="006B66C6"/>
    <w:rsid w:val="006B6D59"/>
    <w:rsid w:val="006B7EC7"/>
    <w:rsid w:val="006C03C4"/>
    <w:rsid w:val="006C1EDA"/>
    <w:rsid w:val="006C2C65"/>
    <w:rsid w:val="006C2D80"/>
    <w:rsid w:val="006C3E83"/>
    <w:rsid w:val="006C3EF9"/>
    <w:rsid w:val="006C4B49"/>
    <w:rsid w:val="006C5269"/>
    <w:rsid w:val="006C5A58"/>
    <w:rsid w:val="006C71B0"/>
    <w:rsid w:val="006C72A1"/>
    <w:rsid w:val="006C7687"/>
    <w:rsid w:val="006C7BF9"/>
    <w:rsid w:val="006D076A"/>
    <w:rsid w:val="006D1411"/>
    <w:rsid w:val="006D15F8"/>
    <w:rsid w:val="006D24AE"/>
    <w:rsid w:val="006D31D2"/>
    <w:rsid w:val="006D5771"/>
    <w:rsid w:val="006D644E"/>
    <w:rsid w:val="006D6A02"/>
    <w:rsid w:val="006E0FB0"/>
    <w:rsid w:val="006E1219"/>
    <w:rsid w:val="006E17C7"/>
    <w:rsid w:val="006E19C4"/>
    <w:rsid w:val="006E366F"/>
    <w:rsid w:val="006E4A09"/>
    <w:rsid w:val="006E5058"/>
    <w:rsid w:val="006E547A"/>
    <w:rsid w:val="006E5802"/>
    <w:rsid w:val="006E5DBD"/>
    <w:rsid w:val="006E75F9"/>
    <w:rsid w:val="006E77DA"/>
    <w:rsid w:val="006E7F04"/>
    <w:rsid w:val="006F0608"/>
    <w:rsid w:val="006F092A"/>
    <w:rsid w:val="006F0D85"/>
    <w:rsid w:val="006F13D5"/>
    <w:rsid w:val="006F1409"/>
    <w:rsid w:val="006F1B0B"/>
    <w:rsid w:val="006F1B4E"/>
    <w:rsid w:val="006F1E1F"/>
    <w:rsid w:val="006F2C2E"/>
    <w:rsid w:val="006F3D63"/>
    <w:rsid w:val="006F439E"/>
    <w:rsid w:val="006F45C0"/>
    <w:rsid w:val="006F464B"/>
    <w:rsid w:val="006F4EC3"/>
    <w:rsid w:val="006F4FB4"/>
    <w:rsid w:val="006F58B6"/>
    <w:rsid w:val="006F5D61"/>
    <w:rsid w:val="006F66B4"/>
    <w:rsid w:val="006F781E"/>
    <w:rsid w:val="006F7C4C"/>
    <w:rsid w:val="006F7D3D"/>
    <w:rsid w:val="007002F7"/>
    <w:rsid w:val="00700533"/>
    <w:rsid w:val="00701051"/>
    <w:rsid w:val="007015FD"/>
    <w:rsid w:val="00701F23"/>
    <w:rsid w:val="0070301B"/>
    <w:rsid w:val="00703F65"/>
    <w:rsid w:val="00704451"/>
    <w:rsid w:val="00704908"/>
    <w:rsid w:val="0070504C"/>
    <w:rsid w:val="00705268"/>
    <w:rsid w:val="00705794"/>
    <w:rsid w:val="00705891"/>
    <w:rsid w:val="00706E7B"/>
    <w:rsid w:val="007074F5"/>
    <w:rsid w:val="0071040C"/>
    <w:rsid w:val="00710474"/>
    <w:rsid w:val="0071064D"/>
    <w:rsid w:val="007126E3"/>
    <w:rsid w:val="0071274D"/>
    <w:rsid w:val="007131E7"/>
    <w:rsid w:val="007143CE"/>
    <w:rsid w:val="00716347"/>
    <w:rsid w:val="00716449"/>
    <w:rsid w:val="0071658D"/>
    <w:rsid w:val="00716A08"/>
    <w:rsid w:val="00717F49"/>
    <w:rsid w:val="00720262"/>
    <w:rsid w:val="007206E1"/>
    <w:rsid w:val="00722623"/>
    <w:rsid w:val="0072358E"/>
    <w:rsid w:val="00724BF6"/>
    <w:rsid w:val="00724CB0"/>
    <w:rsid w:val="00725BF0"/>
    <w:rsid w:val="0072609B"/>
    <w:rsid w:val="00726551"/>
    <w:rsid w:val="007269B6"/>
    <w:rsid w:val="00726F24"/>
    <w:rsid w:val="007275EC"/>
    <w:rsid w:val="00730A41"/>
    <w:rsid w:val="007320DF"/>
    <w:rsid w:val="007332A5"/>
    <w:rsid w:val="0073343F"/>
    <w:rsid w:val="00733635"/>
    <w:rsid w:val="0073414A"/>
    <w:rsid w:val="0073461D"/>
    <w:rsid w:val="00734634"/>
    <w:rsid w:val="0073523E"/>
    <w:rsid w:val="00735B12"/>
    <w:rsid w:val="00736CBB"/>
    <w:rsid w:val="00737248"/>
    <w:rsid w:val="00740D86"/>
    <w:rsid w:val="00740E34"/>
    <w:rsid w:val="007411DB"/>
    <w:rsid w:val="00741765"/>
    <w:rsid w:val="00741C5A"/>
    <w:rsid w:val="0074215B"/>
    <w:rsid w:val="0074236E"/>
    <w:rsid w:val="007435D3"/>
    <w:rsid w:val="007436E8"/>
    <w:rsid w:val="00744830"/>
    <w:rsid w:val="00744B18"/>
    <w:rsid w:val="00745795"/>
    <w:rsid w:val="007459AF"/>
    <w:rsid w:val="00745F77"/>
    <w:rsid w:val="007464E6"/>
    <w:rsid w:val="00746635"/>
    <w:rsid w:val="007506EF"/>
    <w:rsid w:val="007507FE"/>
    <w:rsid w:val="0075084D"/>
    <w:rsid w:val="0075086E"/>
    <w:rsid w:val="00752BAF"/>
    <w:rsid w:val="00753134"/>
    <w:rsid w:val="00753420"/>
    <w:rsid w:val="00753C81"/>
    <w:rsid w:val="007548DB"/>
    <w:rsid w:val="007551A2"/>
    <w:rsid w:val="00755ECE"/>
    <w:rsid w:val="00756019"/>
    <w:rsid w:val="0075681E"/>
    <w:rsid w:val="007573B6"/>
    <w:rsid w:val="00757E4F"/>
    <w:rsid w:val="00761480"/>
    <w:rsid w:val="0076204B"/>
    <w:rsid w:val="0076290B"/>
    <w:rsid w:val="00762AAF"/>
    <w:rsid w:val="00763021"/>
    <w:rsid w:val="0076333C"/>
    <w:rsid w:val="00763E13"/>
    <w:rsid w:val="00763E14"/>
    <w:rsid w:val="00764797"/>
    <w:rsid w:val="00764A0F"/>
    <w:rsid w:val="00764ADE"/>
    <w:rsid w:val="00765245"/>
    <w:rsid w:val="00765354"/>
    <w:rsid w:val="007663F1"/>
    <w:rsid w:val="007701BE"/>
    <w:rsid w:val="00770905"/>
    <w:rsid w:val="007709B7"/>
    <w:rsid w:val="00770F1A"/>
    <w:rsid w:val="00771616"/>
    <w:rsid w:val="00771675"/>
    <w:rsid w:val="0077201F"/>
    <w:rsid w:val="007724D2"/>
    <w:rsid w:val="007725BA"/>
    <w:rsid w:val="007729D8"/>
    <w:rsid w:val="00773CA3"/>
    <w:rsid w:val="00773E62"/>
    <w:rsid w:val="0077409F"/>
    <w:rsid w:val="007744B2"/>
    <w:rsid w:val="0077594D"/>
    <w:rsid w:val="0077682B"/>
    <w:rsid w:val="00780715"/>
    <w:rsid w:val="00780A2C"/>
    <w:rsid w:val="00781056"/>
    <w:rsid w:val="00781A1A"/>
    <w:rsid w:val="00782D2F"/>
    <w:rsid w:val="0078306E"/>
    <w:rsid w:val="007840CB"/>
    <w:rsid w:val="00784873"/>
    <w:rsid w:val="00785154"/>
    <w:rsid w:val="00785530"/>
    <w:rsid w:val="00785535"/>
    <w:rsid w:val="007858EF"/>
    <w:rsid w:val="00785FEF"/>
    <w:rsid w:val="00786119"/>
    <w:rsid w:val="00786FA8"/>
    <w:rsid w:val="00787405"/>
    <w:rsid w:val="00787471"/>
    <w:rsid w:val="007876CE"/>
    <w:rsid w:val="0078798D"/>
    <w:rsid w:val="00790142"/>
    <w:rsid w:val="0079117E"/>
    <w:rsid w:val="00793018"/>
    <w:rsid w:val="0079310A"/>
    <w:rsid w:val="0079318A"/>
    <w:rsid w:val="00793558"/>
    <w:rsid w:val="00794406"/>
    <w:rsid w:val="00794D73"/>
    <w:rsid w:val="007955FF"/>
    <w:rsid w:val="00795967"/>
    <w:rsid w:val="007959E5"/>
    <w:rsid w:val="00795FBB"/>
    <w:rsid w:val="007967F0"/>
    <w:rsid w:val="007970B9"/>
    <w:rsid w:val="00797335"/>
    <w:rsid w:val="007978AA"/>
    <w:rsid w:val="00797A6C"/>
    <w:rsid w:val="00797C9D"/>
    <w:rsid w:val="00797F85"/>
    <w:rsid w:val="007A0774"/>
    <w:rsid w:val="007A0D39"/>
    <w:rsid w:val="007A1543"/>
    <w:rsid w:val="007A16F2"/>
    <w:rsid w:val="007A1913"/>
    <w:rsid w:val="007A19F4"/>
    <w:rsid w:val="007A1C71"/>
    <w:rsid w:val="007A2325"/>
    <w:rsid w:val="007A25CD"/>
    <w:rsid w:val="007A3927"/>
    <w:rsid w:val="007A486E"/>
    <w:rsid w:val="007A4A57"/>
    <w:rsid w:val="007A4AA0"/>
    <w:rsid w:val="007A4D00"/>
    <w:rsid w:val="007A4F6D"/>
    <w:rsid w:val="007A6BB5"/>
    <w:rsid w:val="007A718B"/>
    <w:rsid w:val="007A7C7E"/>
    <w:rsid w:val="007B0680"/>
    <w:rsid w:val="007B0C1C"/>
    <w:rsid w:val="007B1831"/>
    <w:rsid w:val="007B1D8E"/>
    <w:rsid w:val="007B1D9E"/>
    <w:rsid w:val="007B1F19"/>
    <w:rsid w:val="007B1FC8"/>
    <w:rsid w:val="007B1FD6"/>
    <w:rsid w:val="007B2774"/>
    <w:rsid w:val="007B3815"/>
    <w:rsid w:val="007B46D2"/>
    <w:rsid w:val="007B49AC"/>
    <w:rsid w:val="007B4EEC"/>
    <w:rsid w:val="007B5ADA"/>
    <w:rsid w:val="007B640B"/>
    <w:rsid w:val="007B6B93"/>
    <w:rsid w:val="007C067C"/>
    <w:rsid w:val="007C0BB3"/>
    <w:rsid w:val="007C125A"/>
    <w:rsid w:val="007C15A3"/>
    <w:rsid w:val="007C3273"/>
    <w:rsid w:val="007C32C8"/>
    <w:rsid w:val="007C3731"/>
    <w:rsid w:val="007C39AE"/>
    <w:rsid w:val="007C3CF2"/>
    <w:rsid w:val="007C3FD8"/>
    <w:rsid w:val="007C45F4"/>
    <w:rsid w:val="007C4979"/>
    <w:rsid w:val="007C4C14"/>
    <w:rsid w:val="007C5B21"/>
    <w:rsid w:val="007C5BC8"/>
    <w:rsid w:val="007C6353"/>
    <w:rsid w:val="007C6970"/>
    <w:rsid w:val="007C6FF4"/>
    <w:rsid w:val="007C73D5"/>
    <w:rsid w:val="007D0828"/>
    <w:rsid w:val="007D0ADA"/>
    <w:rsid w:val="007D0DB2"/>
    <w:rsid w:val="007D14D9"/>
    <w:rsid w:val="007D1B05"/>
    <w:rsid w:val="007D2F43"/>
    <w:rsid w:val="007D3060"/>
    <w:rsid w:val="007D4350"/>
    <w:rsid w:val="007D4691"/>
    <w:rsid w:val="007D4C6C"/>
    <w:rsid w:val="007D4E00"/>
    <w:rsid w:val="007D523B"/>
    <w:rsid w:val="007D5753"/>
    <w:rsid w:val="007D61E0"/>
    <w:rsid w:val="007D64D1"/>
    <w:rsid w:val="007D67CE"/>
    <w:rsid w:val="007D6FE5"/>
    <w:rsid w:val="007D7E28"/>
    <w:rsid w:val="007E00FD"/>
    <w:rsid w:val="007E0169"/>
    <w:rsid w:val="007E231C"/>
    <w:rsid w:val="007E2C16"/>
    <w:rsid w:val="007E33C8"/>
    <w:rsid w:val="007E480D"/>
    <w:rsid w:val="007E5070"/>
    <w:rsid w:val="007E5C92"/>
    <w:rsid w:val="007E67FD"/>
    <w:rsid w:val="007E6B90"/>
    <w:rsid w:val="007E6E35"/>
    <w:rsid w:val="007E6F25"/>
    <w:rsid w:val="007E73EC"/>
    <w:rsid w:val="007E7B57"/>
    <w:rsid w:val="007E7D99"/>
    <w:rsid w:val="007F01D5"/>
    <w:rsid w:val="007F0E37"/>
    <w:rsid w:val="007F1515"/>
    <w:rsid w:val="007F23BA"/>
    <w:rsid w:val="007F35AD"/>
    <w:rsid w:val="007F3D2F"/>
    <w:rsid w:val="007F3D39"/>
    <w:rsid w:val="007F3E6E"/>
    <w:rsid w:val="007F47CD"/>
    <w:rsid w:val="007F47D5"/>
    <w:rsid w:val="007F4922"/>
    <w:rsid w:val="007F59A1"/>
    <w:rsid w:val="007F5A1C"/>
    <w:rsid w:val="007F5BBD"/>
    <w:rsid w:val="007F643D"/>
    <w:rsid w:val="007F67D3"/>
    <w:rsid w:val="007F6F41"/>
    <w:rsid w:val="007F7821"/>
    <w:rsid w:val="007F79FC"/>
    <w:rsid w:val="007F7CE9"/>
    <w:rsid w:val="00800AA5"/>
    <w:rsid w:val="0080142D"/>
    <w:rsid w:val="00801835"/>
    <w:rsid w:val="00801D57"/>
    <w:rsid w:val="00802775"/>
    <w:rsid w:val="00802BF2"/>
    <w:rsid w:val="00803079"/>
    <w:rsid w:val="00803316"/>
    <w:rsid w:val="00803F31"/>
    <w:rsid w:val="008042BC"/>
    <w:rsid w:val="0080433A"/>
    <w:rsid w:val="008044E5"/>
    <w:rsid w:val="00804B40"/>
    <w:rsid w:val="00804CE4"/>
    <w:rsid w:val="00804FE8"/>
    <w:rsid w:val="008052FD"/>
    <w:rsid w:val="00805B63"/>
    <w:rsid w:val="00806002"/>
    <w:rsid w:val="0080780B"/>
    <w:rsid w:val="00807C31"/>
    <w:rsid w:val="008114CA"/>
    <w:rsid w:val="0081182E"/>
    <w:rsid w:val="00812EC9"/>
    <w:rsid w:val="008131F8"/>
    <w:rsid w:val="0081339B"/>
    <w:rsid w:val="00813810"/>
    <w:rsid w:val="00817705"/>
    <w:rsid w:val="00817906"/>
    <w:rsid w:val="00817B1F"/>
    <w:rsid w:val="00817C15"/>
    <w:rsid w:val="008207AC"/>
    <w:rsid w:val="00820FF6"/>
    <w:rsid w:val="008223A4"/>
    <w:rsid w:val="00822E78"/>
    <w:rsid w:val="00824A94"/>
    <w:rsid w:val="00825460"/>
    <w:rsid w:val="008258AA"/>
    <w:rsid w:val="00826B5F"/>
    <w:rsid w:val="00826EE9"/>
    <w:rsid w:val="00826FDE"/>
    <w:rsid w:val="00827644"/>
    <w:rsid w:val="00827E74"/>
    <w:rsid w:val="008303B9"/>
    <w:rsid w:val="00830485"/>
    <w:rsid w:val="00830F1D"/>
    <w:rsid w:val="00831981"/>
    <w:rsid w:val="00831C6C"/>
    <w:rsid w:val="00831D78"/>
    <w:rsid w:val="00831FF5"/>
    <w:rsid w:val="0083241F"/>
    <w:rsid w:val="008333E2"/>
    <w:rsid w:val="00833408"/>
    <w:rsid w:val="008346E3"/>
    <w:rsid w:val="008351BB"/>
    <w:rsid w:val="008356E1"/>
    <w:rsid w:val="00836081"/>
    <w:rsid w:val="00836B02"/>
    <w:rsid w:val="00836E40"/>
    <w:rsid w:val="00841060"/>
    <w:rsid w:val="00841383"/>
    <w:rsid w:val="00841966"/>
    <w:rsid w:val="008420A6"/>
    <w:rsid w:val="008427A5"/>
    <w:rsid w:val="0084362C"/>
    <w:rsid w:val="008437D5"/>
    <w:rsid w:val="00844128"/>
    <w:rsid w:val="00844FF5"/>
    <w:rsid w:val="00845B2F"/>
    <w:rsid w:val="00847426"/>
    <w:rsid w:val="00847646"/>
    <w:rsid w:val="00847BE5"/>
    <w:rsid w:val="00850A20"/>
    <w:rsid w:val="008510A2"/>
    <w:rsid w:val="00851F0C"/>
    <w:rsid w:val="00851F51"/>
    <w:rsid w:val="008523F5"/>
    <w:rsid w:val="00853072"/>
    <w:rsid w:val="00853A5A"/>
    <w:rsid w:val="00853B12"/>
    <w:rsid w:val="00853E29"/>
    <w:rsid w:val="008540D1"/>
    <w:rsid w:val="00854752"/>
    <w:rsid w:val="00854FD6"/>
    <w:rsid w:val="008556AD"/>
    <w:rsid w:val="00855731"/>
    <w:rsid w:val="0085581A"/>
    <w:rsid w:val="0085583D"/>
    <w:rsid w:val="00855B36"/>
    <w:rsid w:val="00855B44"/>
    <w:rsid w:val="00855FD3"/>
    <w:rsid w:val="008560E4"/>
    <w:rsid w:val="008561CF"/>
    <w:rsid w:val="00856685"/>
    <w:rsid w:val="00856FA9"/>
    <w:rsid w:val="0085760A"/>
    <w:rsid w:val="00861B21"/>
    <w:rsid w:val="0086220A"/>
    <w:rsid w:val="0086252B"/>
    <w:rsid w:val="008627B8"/>
    <w:rsid w:val="008636CE"/>
    <w:rsid w:val="00863FBC"/>
    <w:rsid w:val="00864A9B"/>
    <w:rsid w:val="00866195"/>
    <w:rsid w:val="008674FA"/>
    <w:rsid w:val="008707A9"/>
    <w:rsid w:val="00870AA6"/>
    <w:rsid w:val="00870DC8"/>
    <w:rsid w:val="00871764"/>
    <w:rsid w:val="00871DCA"/>
    <w:rsid w:val="00871F4E"/>
    <w:rsid w:val="008728F9"/>
    <w:rsid w:val="00872E99"/>
    <w:rsid w:val="008734C6"/>
    <w:rsid w:val="008734E8"/>
    <w:rsid w:val="00873583"/>
    <w:rsid w:val="00873B5B"/>
    <w:rsid w:val="008746B8"/>
    <w:rsid w:val="00874788"/>
    <w:rsid w:val="00874F64"/>
    <w:rsid w:val="008756E9"/>
    <w:rsid w:val="008757A7"/>
    <w:rsid w:val="008766A3"/>
    <w:rsid w:val="00876F05"/>
    <w:rsid w:val="008800CE"/>
    <w:rsid w:val="00881193"/>
    <w:rsid w:val="008818EC"/>
    <w:rsid w:val="00882C39"/>
    <w:rsid w:val="0088309C"/>
    <w:rsid w:val="008835EA"/>
    <w:rsid w:val="00885F12"/>
    <w:rsid w:val="00886624"/>
    <w:rsid w:val="00886F29"/>
    <w:rsid w:val="00887189"/>
    <w:rsid w:val="00887A99"/>
    <w:rsid w:val="00887AFD"/>
    <w:rsid w:val="00887C03"/>
    <w:rsid w:val="00887C9A"/>
    <w:rsid w:val="00890014"/>
    <w:rsid w:val="00890862"/>
    <w:rsid w:val="00890D27"/>
    <w:rsid w:val="008914BB"/>
    <w:rsid w:val="0089311E"/>
    <w:rsid w:val="008950C4"/>
    <w:rsid w:val="0089535A"/>
    <w:rsid w:val="0089541B"/>
    <w:rsid w:val="0089606B"/>
    <w:rsid w:val="00896C79"/>
    <w:rsid w:val="008975FF"/>
    <w:rsid w:val="008A4114"/>
    <w:rsid w:val="008A6B84"/>
    <w:rsid w:val="008B1F44"/>
    <w:rsid w:val="008B270C"/>
    <w:rsid w:val="008B3A35"/>
    <w:rsid w:val="008B4337"/>
    <w:rsid w:val="008B49F9"/>
    <w:rsid w:val="008B4F3E"/>
    <w:rsid w:val="008B51C8"/>
    <w:rsid w:val="008B5522"/>
    <w:rsid w:val="008B5799"/>
    <w:rsid w:val="008B60BE"/>
    <w:rsid w:val="008B6D1B"/>
    <w:rsid w:val="008B7468"/>
    <w:rsid w:val="008B7650"/>
    <w:rsid w:val="008C0A72"/>
    <w:rsid w:val="008C0FBA"/>
    <w:rsid w:val="008C2243"/>
    <w:rsid w:val="008C27CD"/>
    <w:rsid w:val="008C2ECF"/>
    <w:rsid w:val="008C3470"/>
    <w:rsid w:val="008C3493"/>
    <w:rsid w:val="008C403F"/>
    <w:rsid w:val="008C4A28"/>
    <w:rsid w:val="008C4F54"/>
    <w:rsid w:val="008C578A"/>
    <w:rsid w:val="008C5CAB"/>
    <w:rsid w:val="008C5E42"/>
    <w:rsid w:val="008C64BC"/>
    <w:rsid w:val="008C694D"/>
    <w:rsid w:val="008C696B"/>
    <w:rsid w:val="008C7FDB"/>
    <w:rsid w:val="008D24CB"/>
    <w:rsid w:val="008D2614"/>
    <w:rsid w:val="008D2B24"/>
    <w:rsid w:val="008D30D7"/>
    <w:rsid w:val="008D3BEF"/>
    <w:rsid w:val="008D41B2"/>
    <w:rsid w:val="008D4E60"/>
    <w:rsid w:val="008D51CE"/>
    <w:rsid w:val="008D6D82"/>
    <w:rsid w:val="008D6DC9"/>
    <w:rsid w:val="008D6FE4"/>
    <w:rsid w:val="008E0FAD"/>
    <w:rsid w:val="008E243D"/>
    <w:rsid w:val="008E2510"/>
    <w:rsid w:val="008E276C"/>
    <w:rsid w:val="008E2B65"/>
    <w:rsid w:val="008E2E04"/>
    <w:rsid w:val="008E3788"/>
    <w:rsid w:val="008E37C2"/>
    <w:rsid w:val="008E37CD"/>
    <w:rsid w:val="008E3A94"/>
    <w:rsid w:val="008E44BA"/>
    <w:rsid w:val="008E5731"/>
    <w:rsid w:val="008E5853"/>
    <w:rsid w:val="008E6728"/>
    <w:rsid w:val="008E6A30"/>
    <w:rsid w:val="008F02C0"/>
    <w:rsid w:val="008F0602"/>
    <w:rsid w:val="008F0615"/>
    <w:rsid w:val="008F0977"/>
    <w:rsid w:val="008F13BA"/>
    <w:rsid w:val="008F1A79"/>
    <w:rsid w:val="008F1B0F"/>
    <w:rsid w:val="008F2064"/>
    <w:rsid w:val="008F249F"/>
    <w:rsid w:val="008F2A35"/>
    <w:rsid w:val="008F337B"/>
    <w:rsid w:val="008F338E"/>
    <w:rsid w:val="008F38D9"/>
    <w:rsid w:val="008F3B8E"/>
    <w:rsid w:val="008F41E4"/>
    <w:rsid w:val="008F47A7"/>
    <w:rsid w:val="008F5505"/>
    <w:rsid w:val="008F5D86"/>
    <w:rsid w:val="008F64B6"/>
    <w:rsid w:val="008F6F37"/>
    <w:rsid w:val="008F78C9"/>
    <w:rsid w:val="0090067E"/>
    <w:rsid w:val="00901606"/>
    <w:rsid w:val="00901FA4"/>
    <w:rsid w:val="00902F71"/>
    <w:rsid w:val="00903791"/>
    <w:rsid w:val="00903948"/>
    <w:rsid w:val="009046D9"/>
    <w:rsid w:val="00904720"/>
    <w:rsid w:val="00904767"/>
    <w:rsid w:val="00904866"/>
    <w:rsid w:val="00904A03"/>
    <w:rsid w:val="00906A1E"/>
    <w:rsid w:val="00906D57"/>
    <w:rsid w:val="00906E45"/>
    <w:rsid w:val="00907013"/>
    <w:rsid w:val="009071FC"/>
    <w:rsid w:val="0090779C"/>
    <w:rsid w:val="0091162F"/>
    <w:rsid w:val="00911833"/>
    <w:rsid w:val="00911B7A"/>
    <w:rsid w:val="00911BA9"/>
    <w:rsid w:val="0091271E"/>
    <w:rsid w:val="009127B6"/>
    <w:rsid w:val="0091286F"/>
    <w:rsid w:val="00912B0A"/>
    <w:rsid w:val="00912BF4"/>
    <w:rsid w:val="00912E66"/>
    <w:rsid w:val="00913E8A"/>
    <w:rsid w:val="00915C94"/>
    <w:rsid w:val="00916A0D"/>
    <w:rsid w:val="0091726C"/>
    <w:rsid w:val="0091769F"/>
    <w:rsid w:val="009179BE"/>
    <w:rsid w:val="00921A73"/>
    <w:rsid w:val="00921CD4"/>
    <w:rsid w:val="00921DCA"/>
    <w:rsid w:val="009225D2"/>
    <w:rsid w:val="00922809"/>
    <w:rsid w:val="00922B72"/>
    <w:rsid w:val="00923225"/>
    <w:rsid w:val="00923772"/>
    <w:rsid w:val="00925C74"/>
    <w:rsid w:val="00925EB5"/>
    <w:rsid w:val="0092673B"/>
    <w:rsid w:val="00926E29"/>
    <w:rsid w:val="0092760F"/>
    <w:rsid w:val="00927A96"/>
    <w:rsid w:val="00927F50"/>
    <w:rsid w:val="00930722"/>
    <w:rsid w:val="009312C8"/>
    <w:rsid w:val="00931431"/>
    <w:rsid w:val="00931484"/>
    <w:rsid w:val="009326E2"/>
    <w:rsid w:val="00933EC8"/>
    <w:rsid w:val="00934015"/>
    <w:rsid w:val="00934396"/>
    <w:rsid w:val="00934CC9"/>
    <w:rsid w:val="009355D8"/>
    <w:rsid w:val="009366E9"/>
    <w:rsid w:val="00936904"/>
    <w:rsid w:val="009369B5"/>
    <w:rsid w:val="00937385"/>
    <w:rsid w:val="00937C8E"/>
    <w:rsid w:val="00940029"/>
    <w:rsid w:val="0094068E"/>
    <w:rsid w:val="00940B01"/>
    <w:rsid w:val="00941359"/>
    <w:rsid w:val="009417BF"/>
    <w:rsid w:val="00941BBA"/>
    <w:rsid w:val="00943008"/>
    <w:rsid w:val="00943EED"/>
    <w:rsid w:val="0094491C"/>
    <w:rsid w:val="00944D0A"/>
    <w:rsid w:val="00945477"/>
    <w:rsid w:val="00945484"/>
    <w:rsid w:val="0094572A"/>
    <w:rsid w:val="009458BC"/>
    <w:rsid w:val="00945E97"/>
    <w:rsid w:val="0094633B"/>
    <w:rsid w:val="0094725A"/>
    <w:rsid w:val="00947A2F"/>
    <w:rsid w:val="009508A5"/>
    <w:rsid w:val="00951516"/>
    <w:rsid w:val="00951B40"/>
    <w:rsid w:val="00951CAB"/>
    <w:rsid w:val="00952770"/>
    <w:rsid w:val="00953AAB"/>
    <w:rsid w:val="00953AAF"/>
    <w:rsid w:val="00953F85"/>
    <w:rsid w:val="00953FBE"/>
    <w:rsid w:val="00954602"/>
    <w:rsid w:val="00955D00"/>
    <w:rsid w:val="0095672F"/>
    <w:rsid w:val="00957131"/>
    <w:rsid w:val="009572D1"/>
    <w:rsid w:val="0095784D"/>
    <w:rsid w:val="00957A4C"/>
    <w:rsid w:val="00957ED2"/>
    <w:rsid w:val="00961242"/>
    <w:rsid w:val="009612A9"/>
    <w:rsid w:val="009612B1"/>
    <w:rsid w:val="0096175D"/>
    <w:rsid w:val="00961B37"/>
    <w:rsid w:val="00963768"/>
    <w:rsid w:val="0096382E"/>
    <w:rsid w:val="00964AC9"/>
    <w:rsid w:val="00964BD2"/>
    <w:rsid w:val="00966862"/>
    <w:rsid w:val="0096696B"/>
    <w:rsid w:val="00966D42"/>
    <w:rsid w:val="0096770D"/>
    <w:rsid w:val="00970136"/>
    <w:rsid w:val="009708A3"/>
    <w:rsid w:val="0097091C"/>
    <w:rsid w:val="00971EF5"/>
    <w:rsid w:val="00972984"/>
    <w:rsid w:val="00972FA1"/>
    <w:rsid w:val="00973782"/>
    <w:rsid w:val="00973F2A"/>
    <w:rsid w:val="00974CBC"/>
    <w:rsid w:val="009752E9"/>
    <w:rsid w:val="0097597A"/>
    <w:rsid w:val="00975DCE"/>
    <w:rsid w:val="00975F07"/>
    <w:rsid w:val="0097673D"/>
    <w:rsid w:val="009774F3"/>
    <w:rsid w:val="009779C5"/>
    <w:rsid w:val="0098011E"/>
    <w:rsid w:val="00980723"/>
    <w:rsid w:val="009807F0"/>
    <w:rsid w:val="00980B9A"/>
    <w:rsid w:val="0098174B"/>
    <w:rsid w:val="00981944"/>
    <w:rsid w:val="00981983"/>
    <w:rsid w:val="00981B12"/>
    <w:rsid w:val="00982465"/>
    <w:rsid w:val="00982632"/>
    <w:rsid w:val="00982B08"/>
    <w:rsid w:val="00982B47"/>
    <w:rsid w:val="0098365C"/>
    <w:rsid w:val="00983F6A"/>
    <w:rsid w:val="00984096"/>
    <w:rsid w:val="0098409F"/>
    <w:rsid w:val="009840C6"/>
    <w:rsid w:val="0098512E"/>
    <w:rsid w:val="00985291"/>
    <w:rsid w:val="009855EB"/>
    <w:rsid w:val="00985750"/>
    <w:rsid w:val="009863C9"/>
    <w:rsid w:val="009864F3"/>
    <w:rsid w:val="0098721A"/>
    <w:rsid w:val="00990341"/>
    <w:rsid w:val="00990982"/>
    <w:rsid w:val="00990AE6"/>
    <w:rsid w:val="00990F76"/>
    <w:rsid w:val="00991239"/>
    <w:rsid w:val="00991822"/>
    <w:rsid w:val="00992328"/>
    <w:rsid w:val="009926FB"/>
    <w:rsid w:val="00992F4D"/>
    <w:rsid w:val="009938EE"/>
    <w:rsid w:val="00993A45"/>
    <w:rsid w:val="00994999"/>
    <w:rsid w:val="00995FF2"/>
    <w:rsid w:val="00996515"/>
    <w:rsid w:val="00996A2A"/>
    <w:rsid w:val="00996B1A"/>
    <w:rsid w:val="00997056"/>
    <w:rsid w:val="00997C36"/>
    <w:rsid w:val="009A0C93"/>
    <w:rsid w:val="009A0DDB"/>
    <w:rsid w:val="009A0E0A"/>
    <w:rsid w:val="009A10D6"/>
    <w:rsid w:val="009A3014"/>
    <w:rsid w:val="009A30A3"/>
    <w:rsid w:val="009A4140"/>
    <w:rsid w:val="009A416A"/>
    <w:rsid w:val="009A468A"/>
    <w:rsid w:val="009A4A3E"/>
    <w:rsid w:val="009A4F69"/>
    <w:rsid w:val="009A52A2"/>
    <w:rsid w:val="009A5A04"/>
    <w:rsid w:val="009A6243"/>
    <w:rsid w:val="009A6F3B"/>
    <w:rsid w:val="009A746F"/>
    <w:rsid w:val="009A7DF6"/>
    <w:rsid w:val="009B0CCD"/>
    <w:rsid w:val="009B11C5"/>
    <w:rsid w:val="009B1F0B"/>
    <w:rsid w:val="009B22E1"/>
    <w:rsid w:val="009B23FE"/>
    <w:rsid w:val="009B29E1"/>
    <w:rsid w:val="009B2AFD"/>
    <w:rsid w:val="009B3377"/>
    <w:rsid w:val="009B3915"/>
    <w:rsid w:val="009B4175"/>
    <w:rsid w:val="009B45FE"/>
    <w:rsid w:val="009B47E5"/>
    <w:rsid w:val="009B51DA"/>
    <w:rsid w:val="009B6AD1"/>
    <w:rsid w:val="009B7515"/>
    <w:rsid w:val="009B760F"/>
    <w:rsid w:val="009B76D6"/>
    <w:rsid w:val="009B7F34"/>
    <w:rsid w:val="009C14B0"/>
    <w:rsid w:val="009C2111"/>
    <w:rsid w:val="009C2587"/>
    <w:rsid w:val="009C2A65"/>
    <w:rsid w:val="009C381C"/>
    <w:rsid w:val="009C3D3E"/>
    <w:rsid w:val="009C402C"/>
    <w:rsid w:val="009C4C3B"/>
    <w:rsid w:val="009C5770"/>
    <w:rsid w:val="009C61CA"/>
    <w:rsid w:val="009C65F9"/>
    <w:rsid w:val="009C661B"/>
    <w:rsid w:val="009C67CF"/>
    <w:rsid w:val="009C6B3F"/>
    <w:rsid w:val="009C6E1F"/>
    <w:rsid w:val="009C7891"/>
    <w:rsid w:val="009C7C37"/>
    <w:rsid w:val="009D0978"/>
    <w:rsid w:val="009D10D7"/>
    <w:rsid w:val="009D1240"/>
    <w:rsid w:val="009D1EA1"/>
    <w:rsid w:val="009D1F47"/>
    <w:rsid w:val="009D20D3"/>
    <w:rsid w:val="009D2623"/>
    <w:rsid w:val="009D31C8"/>
    <w:rsid w:val="009D336C"/>
    <w:rsid w:val="009D34B6"/>
    <w:rsid w:val="009D3B35"/>
    <w:rsid w:val="009D3CE3"/>
    <w:rsid w:val="009D428B"/>
    <w:rsid w:val="009D432C"/>
    <w:rsid w:val="009D4FE7"/>
    <w:rsid w:val="009D55A8"/>
    <w:rsid w:val="009D6641"/>
    <w:rsid w:val="009D66A1"/>
    <w:rsid w:val="009D79CC"/>
    <w:rsid w:val="009D7A9E"/>
    <w:rsid w:val="009D7CBF"/>
    <w:rsid w:val="009D7F7F"/>
    <w:rsid w:val="009E004A"/>
    <w:rsid w:val="009E0BE1"/>
    <w:rsid w:val="009E100B"/>
    <w:rsid w:val="009E1658"/>
    <w:rsid w:val="009E1C21"/>
    <w:rsid w:val="009E2BB7"/>
    <w:rsid w:val="009E33EE"/>
    <w:rsid w:val="009E39B6"/>
    <w:rsid w:val="009E3DA6"/>
    <w:rsid w:val="009E4295"/>
    <w:rsid w:val="009E45B8"/>
    <w:rsid w:val="009E4791"/>
    <w:rsid w:val="009E4A03"/>
    <w:rsid w:val="009E5432"/>
    <w:rsid w:val="009E6170"/>
    <w:rsid w:val="009E62C2"/>
    <w:rsid w:val="009E6F54"/>
    <w:rsid w:val="009E71D0"/>
    <w:rsid w:val="009E72F8"/>
    <w:rsid w:val="009E73CB"/>
    <w:rsid w:val="009E7C0C"/>
    <w:rsid w:val="009F0836"/>
    <w:rsid w:val="009F0EF1"/>
    <w:rsid w:val="009F1562"/>
    <w:rsid w:val="009F2121"/>
    <w:rsid w:val="009F2754"/>
    <w:rsid w:val="009F2A9C"/>
    <w:rsid w:val="009F448D"/>
    <w:rsid w:val="009F44C6"/>
    <w:rsid w:val="009F478A"/>
    <w:rsid w:val="009F5B9D"/>
    <w:rsid w:val="009F5BDF"/>
    <w:rsid w:val="009F6330"/>
    <w:rsid w:val="009F6756"/>
    <w:rsid w:val="00A0034B"/>
    <w:rsid w:val="00A00A37"/>
    <w:rsid w:val="00A0290C"/>
    <w:rsid w:val="00A02B2E"/>
    <w:rsid w:val="00A02FAC"/>
    <w:rsid w:val="00A03A8B"/>
    <w:rsid w:val="00A03AE7"/>
    <w:rsid w:val="00A0417E"/>
    <w:rsid w:val="00A048B3"/>
    <w:rsid w:val="00A049C9"/>
    <w:rsid w:val="00A05388"/>
    <w:rsid w:val="00A05FDA"/>
    <w:rsid w:val="00A06021"/>
    <w:rsid w:val="00A072DF"/>
    <w:rsid w:val="00A1085A"/>
    <w:rsid w:val="00A10A29"/>
    <w:rsid w:val="00A11055"/>
    <w:rsid w:val="00A116D7"/>
    <w:rsid w:val="00A121AE"/>
    <w:rsid w:val="00A122B3"/>
    <w:rsid w:val="00A12AF0"/>
    <w:rsid w:val="00A13A10"/>
    <w:rsid w:val="00A13CC1"/>
    <w:rsid w:val="00A1463C"/>
    <w:rsid w:val="00A14829"/>
    <w:rsid w:val="00A151CC"/>
    <w:rsid w:val="00A155FE"/>
    <w:rsid w:val="00A1596A"/>
    <w:rsid w:val="00A16215"/>
    <w:rsid w:val="00A16247"/>
    <w:rsid w:val="00A16758"/>
    <w:rsid w:val="00A170C4"/>
    <w:rsid w:val="00A20023"/>
    <w:rsid w:val="00A217B7"/>
    <w:rsid w:val="00A226FC"/>
    <w:rsid w:val="00A2359F"/>
    <w:rsid w:val="00A2397D"/>
    <w:rsid w:val="00A23DE1"/>
    <w:rsid w:val="00A24040"/>
    <w:rsid w:val="00A241AB"/>
    <w:rsid w:val="00A255A2"/>
    <w:rsid w:val="00A256F9"/>
    <w:rsid w:val="00A256FC"/>
    <w:rsid w:val="00A2577F"/>
    <w:rsid w:val="00A25841"/>
    <w:rsid w:val="00A25E4B"/>
    <w:rsid w:val="00A25E59"/>
    <w:rsid w:val="00A25F18"/>
    <w:rsid w:val="00A26B2A"/>
    <w:rsid w:val="00A26B8A"/>
    <w:rsid w:val="00A275C0"/>
    <w:rsid w:val="00A27771"/>
    <w:rsid w:val="00A27D05"/>
    <w:rsid w:val="00A30814"/>
    <w:rsid w:val="00A313E8"/>
    <w:rsid w:val="00A3194A"/>
    <w:rsid w:val="00A31BAE"/>
    <w:rsid w:val="00A31C2D"/>
    <w:rsid w:val="00A325A8"/>
    <w:rsid w:val="00A328B8"/>
    <w:rsid w:val="00A32B3F"/>
    <w:rsid w:val="00A32BC1"/>
    <w:rsid w:val="00A350D0"/>
    <w:rsid w:val="00A3608D"/>
    <w:rsid w:val="00A366FA"/>
    <w:rsid w:val="00A368EA"/>
    <w:rsid w:val="00A36C71"/>
    <w:rsid w:val="00A36D04"/>
    <w:rsid w:val="00A36FC2"/>
    <w:rsid w:val="00A37D4F"/>
    <w:rsid w:val="00A40448"/>
    <w:rsid w:val="00A41017"/>
    <w:rsid w:val="00A41B36"/>
    <w:rsid w:val="00A41E88"/>
    <w:rsid w:val="00A4233C"/>
    <w:rsid w:val="00A427C1"/>
    <w:rsid w:val="00A42F24"/>
    <w:rsid w:val="00A44505"/>
    <w:rsid w:val="00A44747"/>
    <w:rsid w:val="00A45612"/>
    <w:rsid w:val="00A46B62"/>
    <w:rsid w:val="00A46F83"/>
    <w:rsid w:val="00A477FB"/>
    <w:rsid w:val="00A4789B"/>
    <w:rsid w:val="00A479D4"/>
    <w:rsid w:val="00A50375"/>
    <w:rsid w:val="00A5281A"/>
    <w:rsid w:val="00A540CC"/>
    <w:rsid w:val="00A54C46"/>
    <w:rsid w:val="00A55E2E"/>
    <w:rsid w:val="00A5649A"/>
    <w:rsid w:val="00A56660"/>
    <w:rsid w:val="00A571C2"/>
    <w:rsid w:val="00A57398"/>
    <w:rsid w:val="00A575E6"/>
    <w:rsid w:val="00A57628"/>
    <w:rsid w:val="00A57DE8"/>
    <w:rsid w:val="00A6044A"/>
    <w:rsid w:val="00A607E7"/>
    <w:rsid w:val="00A61119"/>
    <w:rsid w:val="00A616E7"/>
    <w:rsid w:val="00A61ECF"/>
    <w:rsid w:val="00A627F0"/>
    <w:rsid w:val="00A64E65"/>
    <w:rsid w:val="00A64F85"/>
    <w:rsid w:val="00A64FD1"/>
    <w:rsid w:val="00A6516E"/>
    <w:rsid w:val="00A6572F"/>
    <w:rsid w:val="00A65CC0"/>
    <w:rsid w:val="00A66389"/>
    <w:rsid w:val="00A6644E"/>
    <w:rsid w:val="00A6652C"/>
    <w:rsid w:val="00A67D06"/>
    <w:rsid w:val="00A67DED"/>
    <w:rsid w:val="00A7035F"/>
    <w:rsid w:val="00A70368"/>
    <w:rsid w:val="00A70BE7"/>
    <w:rsid w:val="00A71081"/>
    <w:rsid w:val="00A71357"/>
    <w:rsid w:val="00A71BD4"/>
    <w:rsid w:val="00A721B5"/>
    <w:rsid w:val="00A72C16"/>
    <w:rsid w:val="00A72DE6"/>
    <w:rsid w:val="00A74307"/>
    <w:rsid w:val="00A74D92"/>
    <w:rsid w:val="00A74FB3"/>
    <w:rsid w:val="00A75B2B"/>
    <w:rsid w:val="00A760F1"/>
    <w:rsid w:val="00A76600"/>
    <w:rsid w:val="00A7660C"/>
    <w:rsid w:val="00A76C23"/>
    <w:rsid w:val="00A76D50"/>
    <w:rsid w:val="00A76EF9"/>
    <w:rsid w:val="00A77AA3"/>
    <w:rsid w:val="00A77BCC"/>
    <w:rsid w:val="00A80700"/>
    <w:rsid w:val="00A80798"/>
    <w:rsid w:val="00A80842"/>
    <w:rsid w:val="00A81D81"/>
    <w:rsid w:val="00A82009"/>
    <w:rsid w:val="00A8259D"/>
    <w:rsid w:val="00A8294C"/>
    <w:rsid w:val="00A831D7"/>
    <w:rsid w:val="00A8386C"/>
    <w:rsid w:val="00A8473C"/>
    <w:rsid w:val="00A85CE1"/>
    <w:rsid w:val="00A85EF8"/>
    <w:rsid w:val="00A86465"/>
    <w:rsid w:val="00A87607"/>
    <w:rsid w:val="00A87DD2"/>
    <w:rsid w:val="00A910E2"/>
    <w:rsid w:val="00A912CC"/>
    <w:rsid w:val="00A91535"/>
    <w:rsid w:val="00A92A3D"/>
    <w:rsid w:val="00A92F03"/>
    <w:rsid w:val="00A93033"/>
    <w:rsid w:val="00A93776"/>
    <w:rsid w:val="00A938C1"/>
    <w:rsid w:val="00A938C8"/>
    <w:rsid w:val="00A93A6F"/>
    <w:rsid w:val="00A93E4A"/>
    <w:rsid w:val="00A9616A"/>
    <w:rsid w:val="00AA0271"/>
    <w:rsid w:val="00AA0A35"/>
    <w:rsid w:val="00AA113D"/>
    <w:rsid w:val="00AA1354"/>
    <w:rsid w:val="00AA165C"/>
    <w:rsid w:val="00AA22B0"/>
    <w:rsid w:val="00AA230A"/>
    <w:rsid w:val="00AA2BD7"/>
    <w:rsid w:val="00AA2BDF"/>
    <w:rsid w:val="00AA52BC"/>
    <w:rsid w:val="00AA54AF"/>
    <w:rsid w:val="00AA58D6"/>
    <w:rsid w:val="00AA6D1C"/>
    <w:rsid w:val="00AB0484"/>
    <w:rsid w:val="00AB19E1"/>
    <w:rsid w:val="00AB276D"/>
    <w:rsid w:val="00AB2DAE"/>
    <w:rsid w:val="00AB2F27"/>
    <w:rsid w:val="00AB3B14"/>
    <w:rsid w:val="00AB3C75"/>
    <w:rsid w:val="00AB437D"/>
    <w:rsid w:val="00AB50BA"/>
    <w:rsid w:val="00AB66F8"/>
    <w:rsid w:val="00AB6BE8"/>
    <w:rsid w:val="00AB6C70"/>
    <w:rsid w:val="00AC0F0D"/>
    <w:rsid w:val="00AC1196"/>
    <w:rsid w:val="00AC134F"/>
    <w:rsid w:val="00AC16B4"/>
    <w:rsid w:val="00AC197C"/>
    <w:rsid w:val="00AC1BA7"/>
    <w:rsid w:val="00AC20D6"/>
    <w:rsid w:val="00AC2A3F"/>
    <w:rsid w:val="00AC2BB8"/>
    <w:rsid w:val="00AC424C"/>
    <w:rsid w:val="00AC4509"/>
    <w:rsid w:val="00AC4770"/>
    <w:rsid w:val="00AC502A"/>
    <w:rsid w:val="00AC5502"/>
    <w:rsid w:val="00AC57C0"/>
    <w:rsid w:val="00AC5A2B"/>
    <w:rsid w:val="00AC5A3E"/>
    <w:rsid w:val="00AC5DFF"/>
    <w:rsid w:val="00AC647D"/>
    <w:rsid w:val="00AC651C"/>
    <w:rsid w:val="00AC65C0"/>
    <w:rsid w:val="00AC68BD"/>
    <w:rsid w:val="00AC72F3"/>
    <w:rsid w:val="00AD07EA"/>
    <w:rsid w:val="00AD08B9"/>
    <w:rsid w:val="00AD1DCB"/>
    <w:rsid w:val="00AD2A62"/>
    <w:rsid w:val="00AD2D0B"/>
    <w:rsid w:val="00AD3527"/>
    <w:rsid w:val="00AD3AA6"/>
    <w:rsid w:val="00AD596B"/>
    <w:rsid w:val="00AD6086"/>
    <w:rsid w:val="00AD61E7"/>
    <w:rsid w:val="00AD6347"/>
    <w:rsid w:val="00AD6B14"/>
    <w:rsid w:val="00AE03E0"/>
    <w:rsid w:val="00AE04A0"/>
    <w:rsid w:val="00AE054E"/>
    <w:rsid w:val="00AE085F"/>
    <w:rsid w:val="00AE20CB"/>
    <w:rsid w:val="00AE228E"/>
    <w:rsid w:val="00AE2472"/>
    <w:rsid w:val="00AE2483"/>
    <w:rsid w:val="00AE2748"/>
    <w:rsid w:val="00AE2E64"/>
    <w:rsid w:val="00AE2F13"/>
    <w:rsid w:val="00AE2FD7"/>
    <w:rsid w:val="00AE34FC"/>
    <w:rsid w:val="00AE35C5"/>
    <w:rsid w:val="00AE3CEB"/>
    <w:rsid w:val="00AE43EB"/>
    <w:rsid w:val="00AE47EF"/>
    <w:rsid w:val="00AE55DA"/>
    <w:rsid w:val="00AE5974"/>
    <w:rsid w:val="00AE5EF9"/>
    <w:rsid w:val="00AE6021"/>
    <w:rsid w:val="00AF063D"/>
    <w:rsid w:val="00AF0C14"/>
    <w:rsid w:val="00AF21DA"/>
    <w:rsid w:val="00AF28EF"/>
    <w:rsid w:val="00AF362E"/>
    <w:rsid w:val="00AF37B2"/>
    <w:rsid w:val="00AF3B9C"/>
    <w:rsid w:val="00AF52CC"/>
    <w:rsid w:val="00AF603C"/>
    <w:rsid w:val="00AF6323"/>
    <w:rsid w:val="00AF6AB8"/>
    <w:rsid w:val="00AF6D79"/>
    <w:rsid w:val="00B001C7"/>
    <w:rsid w:val="00B0118C"/>
    <w:rsid w:val="00B013F1"/>
    <w:rsid w:val="00B01BEA"/>
    <w:rsid w:val="00B020C6"/>
    <w:rsid w:val="00B03F00"/>
    <w:rsid w:val="00B04F10"/>
    <w:rsid w:val="00B065CD"/>
    <w:rsid w:val="00B0687E"/>
    <w:rsid w:val="00B07B01"/>
    <w:rsid w:val="00B10140"/>
    <w:rsid w:val="00B1138F"/>
    <w:rsid w:val="00B12657"/>
    <w:rsid w:val="00B12911"/>
    <w:rsid w:val="00B1358E"/>
    <w:rsid w:val="00B1411F"/>
    <w:rsid w:val="00B1421C"/>
    <w:rsid w:val="00B14366"/>
    <w:rsid w:val="00B146E6"/>
    <w:rsid w:val="00B14980"/>
    <w:rsid w:val="00B149F8"/>
    <w:rsid w:val="00B14A8D"/>
    <w:rsid w:val="00B1527C"/>
    <w:rsid w:val="00B152C9"/>
    <w:rsid w:val="00B15331"/>
    <w:rsid w:val="00B15CE9"/>
    <w:rsid w:val="00B16CF9"/>
    <w:rsid w:val="00B17020"/>
    <w:rsid w:val="00B173C5"/>
    <w:rsid w:val="00B20323"/>
    <w:rsid w:val="00B205BE"/>
    <w:rsid w:val="00B222B5"/>
    <w:rsid w:val="00B22860"/>
    <w:rsid w:val="00B228B6"/>
    <w:rsid w:val="00B230A6"/>
    <w:rsid w:val="00B230A8"/>
    <w:rsid w:val="00B23749"/>
    <w:rsid w:val="00B24893"/>
    <w:rsid w:val="00B24CA4"/>
    <w:rsid w:val="00B24CE8"/>
    <w:rsid w:val="00B25336"/>
    <w:rsid w:val="00B267B2"/>
    <w:rsid w:val="00B30632"/>
    <w:rsid w:val="00B31705"/>
    <w:rsid w:val="00B32DB2"/>
    <w:rsid w:val="00B339D2"/>
    <w:rsid w:val="00B33BCD"/>
    <w:rsid w:val="00B33CA6"/>
    <w:rsid w:val="00B34855"/>
    <w:rsid w:val="00B34EE4"/>
    <w:rsid w:val="00B34F04"/>
    <w:rsid w:val="00B35CD0"/>
    <w:rsid w:val="00B36D3C"/>
    <w:rsid w:val="00B36E11"/>
    <w:rsid w:val="00B3729C"/>
    <w:rsid w:val="00B40275"/>
    <w:rsid w:val="00B405F4"/>
    <w:rsid w:val="00B417F6"/>
    <w:rsid w:val="00B41F49"/>
    <w:rsid w:val="00B440BB"/>
    <w:rsid w:val="00B444D7"/>
    <w:rsid w:val="00B448A6"/>
    <w:rsid w:val="00B44AD0"/>
    <w:rsid w:val="00B454DF"/>
    <w:rsid w:val="00B45632"/>
    <w:rsid w:val="00B4688E"/>
    <w:rsid w:val="00B46990"/>
    <w:rsid w:val="00B470C6"/>
    <w:rsid w:val="00B47D0F"/>
    <w:rsid w:val="00B5040B"/>
    <w:rsid w:val="00B508AD"/>
    <w:rsid w:val="00B51B78"/>
    <w:rsid w:val="00B524C5"/>
    <w:rsid w:val="00B52EA8"/>
    <w:rsid w:val="00B53156"/>
    <w:rsid w:val="00B53E63"/>
    <w:rsid w:val="00B54213"/>
    <w:rsid w:val="00B5474B"/>
    <w:rsid w:val="00B55691"/>
    <w:rsid w:val="00B55D29"/>
    <w:rsid w:val="00B56462"/>
    <w:rsid w:val="00B567F8"/>
    <w:rsid w:val="00B575F9"/>
    <w:rsid w:val="00B57687"/>
    <w:rsid w:val="00B57D22"/>
    <w:rsid w:val="00B609E4"/>
    <w:rsid w:val="00B60AEA"/>
    <w:rsid w:val="00B60B84"/>
    <w:rsid w:val="00B60F16"/>
    <w:rsid w:val="00B61A7E"/>
    <w:rsid w:val="00B61B88"/>
    <w:rsid w:val="00B62866"/>
    <w:rsid w:val="00B62D4A"/>
    <w:rsid w:val="00B62FE3"/>
    <w:rsid w:val="00B63132"/>
    <w:rsid w:val="00B63757"/>
    <w:rsid w:val="00B63E23"/>
    <w:rsid w:val="00B6419B"/>
    <w:rsid w:val="00B6475A"/>
    <w:rsid w:val="00B6576D"/>
    <w:rsid w:val="00B658F8"/>
    <w:rsid w:val="00B66619"/>
    <w:rsid w:val="00B6704E"/>
    <w:rsid w:val="00B67ADE"/>
    <w:rsid w:val="00B67C6F"/>
    <w:rsid w:val="00B67DFC"/>
    <w:rsid w:val="00B67F49"/>
    <w:rsid w:val="00B71FB3"/>
    <w:rsid w:val="00B7255F"/>
    <w:rsid w:val="00B728AE"/>
    <w:rsid w:val="00B72B17"/>
    <w:rsid w:val="00B72C2B"/>
    <w:rsid w:val="00B73836"/>
    <w:rsid w:val="00B73984"/>
    <w:rsid w:val="00B74091"/>
    <w:rsid w:val="00B74337"/>
    <w:rsid w:val="00B7744A"/>
    <w:rsid w:val="00B77BD8"/>
    <w:rsid w:val="00B803DC"/>
    <w:rsid w:val="00B80BF6"/>
    <w:rsid w:val="00B80DD3"/>
    <w:rsid w:val="00B8179A"/>
    <w:rsid w:val="00B81AE7"/>
    <w:rsid w:val="00B8289C"/>
    <w:rsid w:val="00B829CD"/>
    <w:rsid w:val="00B83103"/>
    <w:rsid w:val="00B837C7"/>
    <w:rsid w:val="00B84056"/>
    <w:rsid w:val="00B84B75"/>
    <w:rsid w:val="00B85426"/>
    <w:rsid w:val="00B85607"/>
    <w:rsid w:val="00B87D33"/>
    <w:rsid w:val="00B9023F"/>
    <w:rsid w:val="00B90401"/>
    <w:rsid w:val="00B9130C"/>
    <w:rsid w:val="00B92E7C"/>
    <w:rsid w:val="00B9372E"/>
    <w:rsid w:val="00B93939"/>
    <w:rsid w:val="00B94194"/>
    <w:rsid w:val="00B94227"/>
    <w:rsid w:val="00B9496E"/>
    <w:rsid w:val="00B94B27"/>
    <w:rsid w:val="00B94BB3"/>
    <w:rsid w:val="00B94FD4"/>
    <w:rsid w:val="00B95317"/>
    <w:rsid w:val="00B966F6"/>
    <w:rsid w:val="00B96E8B"/>
    <w:rsid w:val="00B97B7F"/>
    <w:rsid w:val="00BA049F"/>
    <w:rsid w:val="00BA07AF"/>
    <w:rsid w:val="00BA0E69"/>
    <w:rsid w:val="00BA1C15"/>
    <w:rsid w:val="00BA1DBA"/>
    <w:rsid w:val="00BA2B8A"/>
    <w:rsid w:val="00BA379D"/>
    <w:rsid w:val="00BA3CFD"/>
    <w:rsid w:val="00BA4560"/>
    <w:rsid w:val="00BA4F7C"/>
    <w:rsid w:val="00BA5721"/>
    <w:rsid w:val="00BA612B"/>
    <w:rsid w:val="00BA6156"/>
    <w:rsid w:val="00BA7618"/>
    <w:rsid w:val="00BA7657"/>
    <w:rsid w:val="00BA7AD5"/>
    <w:rsid w:val="00BB0960"/>
    <w:rsid w:val="00BB0E0B"/>
    <w:rsid w:val="00BB10A7"/>
    <w:rsid w:val="00BB17B5"/>
    <w:rsid w:val="00BB180B"/>
    <w:rsid w:val="00BB1A1F"/>
    <w:rsid w:val="00BB23BE"/>
    <w:rsid w:val="00BB38D3"/>
    <w:rsid w:val="00BB3F2A"/>
    <w:rsid w:val="00BB52BA"/>
    <w:rsid w:val="00BB5559"/>
    <w:rsid w:val="00BB61AD"/>
    <w:rsid w:val="00BB625E"/>
    <w:rsid w:val="00BB66FF"/>
    <w:rsid w:val="00BB7082"/>
    <w:rsid w:val="00BB71D3"/>
    <w:rsid w:val="00BB7908"/>
    <w:rsid w:val="00BC0D8B"/>
    <w:rsid w:val="00BC150C"/>
    <w:rsid w:val="00BC15EB"/>
    <w:rsid w:val="00BC1F6C"/>
    <w:rsid w:val="00BC2220"/>
    <w:rsid w:val="00BC23B3"/>
    <w:rsid w:val="00BC33BE"/>
    <w:rsid w:val="00BC3B4A"/>
    <w:rsid w:val="00BC4177"/>
    <w:rsid w:val="00BC4730"/>
    <w:rsid w:val="00BC4B23"/>
    <w:rsid w:val="00BC4D83"/>
    <w:rsid w:val="00BC500F"/>
    <w:rsid w:val="00BC559A"/>
    <w:rsid w:val="00BC57A5"/>
    <w:rsid w:val="00BC6447"/>
    <w:rsid w:val="00BC6484"/>
    <w:rsid w:val="00BC7037"/>
    <w:rsid w:val="00BC7CE2"/>
    <w:rsid w:val="00BD0899"/>
    <w:rsid w:val="00BD0ABD"/>
    <w:rsid w:val="00BD143C"/>
    <w:rsid w:val="00BD1470"/>
    <w:rsid w:val="00BD14DD"/>
    <w:rsid w:val="00BD1C02"/>
    <w:rsid w:val="00BD229E"/>
    <w:rsid w:val="00BD246D"/>
    <w:rsid w:val="00BD3BB3"/>
    <w:rsid w:val="00BD4640"/>
    <w:rsid w:val="00BD4CCC"/>
    <w:rsid w:val="00BD512B"/>
    <w:rsid w:val="00BD5389"/>
    <w:rsid w:val="00BD5C5E"/>
    <w:rsid w:val="00BD688B"/>
    <w:rsid w:val="00BD68D4"/>
    <w:rsid w:val="00BD7D5B"/>
    <w:rsid w:val="00BE31EB"/>
    <w:rsid w:val="00BE3895"/>
    <w:rsid w:val="00BE56F8"/>
    <w:rsid w:val="00BE5CB2"/>
    <w:rsid w:val="00BE6EEC"/>
    <w:rsid w:val="00BE784F"/>
    <w:rsid w:val="00BF086F"/>
    <w:rsid w:val="00BF0BFF"/>
    <w:rsid w:val="00BF0F4D"/>
    <w:rsid w:val="00BF10FD"/>
    <w:rsid w:val="00BF14B3"/>
    <w:rsid w:val="00BF3961"/>
    <w:rsid w:val="00BF3BD5"/>
    <w:rsid w:val="00BF42CC"/>
    <w:rsid w:val="00BF5703"/>
    <w:rsid w:val="00BF5967"/>
    <w:rsid w:val="00BF5C21"/>
    <w:rsid w:val="00BF5EEA"/>
    <w:rsid w:val="00BF66B4"/>
    <w:rsid w:val="00BF6AA5"/>
    <w:rsid w:val="00BF7144"/>
    <w:rsid w:val="00BF7530"/>
    <w:rsid w:val="00C00A31"/>
    <w:rsid w:val="00C01025"/>
    <w:rsid w:val="00C011CD"/>
    <w:rsid w:val="00C01CC4"/>
    <w:rsid w:val="00C02756"/>
    <w:rsid w:val="00C02F3A"/>
    <w:rsid w:val="00C03292"/>
    <w:rsid w:val="00C03430"/>
    <w:rsid w:val="00C0360E"/>
    <w:rsid w:val="00C04BC2"/>
    <w:rsid w:val="00C04E3F"/>
    <w:rsid w:val="00C05962"/>
    <w:rsid w:val="00C05A1E"/>
    <w:rsid w:val="00C075F7"/>
    <w:rsid w:val="00C076CC"/>
    <w:rsid w:val="00C102A2"/>
    <w:rsid w:val="00C10DDA"/>
    <w:rsid w:val="00C1181D"/>
    <w:rsid w:val="00C11EFB"/>
    <w:rsid w:val="00C12146"/>
    <w:rsid w:val="00C13034"/>
    <w:rsid w:val="00C133EF"/>
    <w:rsid w:val="00C133FD"/>
    <w:rsid w:val="00C1349B"/>
    <w:rsid w:val="00C1429E"/>
    <w:rsid w:val="00C146B9"/>
    <w:rsid w:val="00C14754"/>
    <w:rsid w:val="00C14994"/>
    <w:rsid w:val="00C1508C"/>
    <w:rsid w:val="00C15A02"/>
    <w:rsid w:val="00C15B3C"/>
    <w:rsid w:val="00C1678D"/>
    <w:rsid w:val="00C168CD"/>
    <w:rsid w:val="00C16C6D"/>
    <w:rsid w:val="00C16C9F"/>
    <w:rsid w:val="00C17419"/>
    <w:rsid w:val="00C202D7"/>
    <w:rsid w:val="00C20918"/>
    <w:rsid w:val="00C21177"/>
    <w:rsid w:val="00C21FDD"/>
    <w:rsid w:val="00C22275"/>
    <w:rsid w:val="00C226C8"/>
    <w:rsid w:val="00C22F47"/>
    <w:rsid w:val="00C23567"/>
    <w:rsid w:val="00C23A25"/>
    <w:rsid w:val="00C23EAA"/>
    <w:rsid w:val="00C23F10"/>
    <w:rsid w:val="00C23FCE"/>
    <w:rsid w:val="00C25B4C"/>
    <w:rsid w:val="00C25E79"/>
    <w:rsid w:val="00C26A8F"/>
    <w:rsid w:val="00C32252"/>
    <w:rsid w:val="00C32C4C"/>
    <w:rsid w:val="00C34184"/>
    <w:rsid w:val="00C3421B"/>
    <w:rsid w:val="00C3469F"/>
    <w:rsid w:val="00C34AE9"/>
    <w:rsid w:val="00C355D7"/>
    <w:rsid w:val="00C35AFA"/>
    <w:rsid w:val="00C35BF2"/>
    <w:rsid w:val="00C35C60"/>
    <w:rsid w:val="00C36DED"/>
    <w:rsid w:val="00C37083"/>
    <w:rsid w:val="00C378BC"/>
    <w:rsid w:val="00C409CC"/>
    <w:rsid w:val="00C40A17"/>
    <w:rsid w:val="00C41661"/>
    <w:rsid w:val="00C421C3"/>
    <w:rsid w:val="00C42E4F"/>
    <w:rsid w:val="00C43910"/>
    <w:rsid w:val="00C46D30"/>
    <w:rsid w:val="00C47C5B"/>
    <w:rsid w:val="00C47CCA"/>
    <w:rsid w:val="00C50283"/>
    <w:rsid w:val="00C508AE"/>
    <w:rsid w:val="00C511CD"/>
    <w:rsid w:val="00C52332"/>
    <w:rsid w:val="00C52A92"/>
    <w:rsid w:val="00C52DED"/>
    <w:rsid w:val="00C52EC1"/>
    <w:rsid w:val="00C531E3"/>
    <w:rsid w:val="00C53CB2"/>
    <w:rsid w:val="00C54995"/>
    <w:rsid w:val="00C55022"/>
    <w:rsid w:val="00C55A03"/>
    <w:rsid w:val="00C56E66"/>
    <w:rsid w:val="00C56ED6"/>
    <w:rsid w:val="00C570C8"/>
    <w:rsid w:val="00C60188"/>
    <w:rsid w:val="00C609E5"/>
    <w:rsid w:val="00C61165"/>
    <w:rsid w:val="00C61236"/>
    <w:rsid w:val="00C612DB"/>
    <w:rsid w:val="00C615FD"/>
    <w:rsid w:val="00C6253E"/>
    <w:rsid w:val="00C62816"/>
    <w:rsid w:val="00C6408B"/>
    <w:rsid w:val="00C6488B"/>
    <w:rsid w:val="00C64E71"/>
    <w:rsid w:val="00C664DF"/>
    <w:rsid w:val="00C66510"/>
    <w:rsid w:val="00C679E1"/>
    <w:rsid w:val="00C67CE9"/>
    <w:rsid w:val="00C7070D"/>
    <w:rsid w:val="00C70A20"/>
    <w:rsid w:val="00C71263"/>
    <w:rsid w:val="00C7236B"/>
    <w:rsid w:val="00C72832"/>
    <w:rsid w:val="00C72894"/>
    <w:rsid w:val="00C72A47"/>
    <w:rsid w:val="00C72CF8"/>
    <w:rsid w:val="00C730A8"/>
    <w:rsid w:val="00C73363"/>
    <w:rsid w:val="00C76467"/>
    <w:rsid w:val="00C76820"/>
    <w:rsid w:val="00C771F7"/>
    <w:rsid w:val="00C7747A"/>
    <w:rsid w:val="00C80923"/>
    <w:rsid w:val="00C809CD"/>
    <w:rsid w:val="00C80FF5"/>
    <w:rsid w:val="00C81F61"/>
    <w:rsid w:val="00C82684"/>
    <w:rsid w:val="00C831F4"/>
    <w:rsid w:val="00C83DB7"/>
    <w:rsid w:val="00C84D5A"/>
    <w:rsid w:val="00C861C7"/>
    <w:rsid w:val="00C8666E"/>
    <w:rsid w:val="00C8690E"/>
    <w:rsid w:val="00C8752C"/>
    <w:rsid w:val="00C87804"/>
    <w:rsid w:val="00C879B0"/>
    <w:rsid w:val="00C907DD"/>
    <w:rsid w:val="00C90AEE"/>
    <w:rsid w:val="00C90FF7"/>
    <w:rsid w:val="00C91C88"/>
    <w:rsid w:val="00C92024"/>
    <w:rsid w:val="00C939F8"/>
    <w:rsid w:val="00C94B53"/>
    <w:rsid w:val="00C95A9F"/>
    <w:rsid w:val="00C95D01"/>
    <w:rsid w:val="00C96FB4"/>
    <w:rsid w:val="00C97918"/>
    <w:rsid w:val="00CA0028"/>
    <w:rsid w:val="00CA006C"/>
    <w:rsid w:val="00CA0E58"/>
    <w:rsid w:val="00CA1F89"/>
    <w:rsid w:val="00CA2953"/>
    <w:rsid w:val="00CA29B6"/>
    <w:rsid w:val="00CA32BC"/>
    <w:rsid w:val="00CA3796"/>
    <w:rsid w:val="00CA46B5"/>
    <w:rsid w:val="00CA4716"/>
    <w:rsid w:val="00CA6A19"/>
    <w:rsid w:val="00CA7006"/>
    <w:rsid w:val="00CA71CB"/>
    <w:rsid w:val="00CB0E60"/>
    <w:rsid w:val="00CB18D0"/>
    <w:rsid w:val="00CB1906"/>
    <w:rsid w:val="00CB1BAC"/>
    <w:rsid w:val="00CB220E"/>
    <w:rsid w:val="00CB25E6"/>
    <w:rsid w:val="00CB2A9B"/>
    <w:rsid w:val="00CB2F17"/>
    <w:rsid w:val="00CB2F8F"/>
    <w:rsid w:val="00CB331A"/>
    <w:rsid w:val="00CB3425"/>
    <w:rsid w:val="00CB3CB9"/>
    <w:rsid w:val="00CB4258"/>
    <w:rsid w:val="00CB45A8"/>
    <w:rsid w:val="00CB47BF"/>
    <w:rsid w:val="00CB5798"/>
    <w:rsid w:val="00CB6065"/>
    <w:rsid w:val="00CB6475"/>
    <w:rsid w:val="00CB663D"/>
    <w:rsid w:val="00CB6B64"/>
    <w:rsid w:val="00CB76D2"/>
    <w:rsid w:val="00CC078B"/>
    <w:rsid w:val="00CC07ED"/>
    <w:rsid w:val="00CC13DE"/>
    <w:rsid w:val="00CC15FF"/>
    <w:rsid w:val="00CC19CA"/>
    <w:rsid w:val="00CC1EEA"/>
    <w:rsid w:val="00CC2482"/>
    <w:rsid w:val="00CC395B"/>
    <w:rsid w:val="00CC4D19"/>
    <w:rsid w:val="00CC5DF2"/>
    <w:rsid w:val="00CC768F"/>
    <w:rsid w:val="00CC7857"/>
    <w:rsid w:val="00CC7DF7"/>
    <w:rsid w:val="00CD059A"/>
    <w:rsid w:val="00CD0963"/>
    <w:rsid w:val="00CD0B0E"/>
    <w:rsid w:val="00CD0EE7"/>
    <w:rsid w:val="00CD19D7"/>
    <w:rsid w:val="00CD2668"/>
    <w:rsid w:val="00CD2C7D"/>
    <w:rsid w:val="00CD2DF8"/>
    <w:rsid w:val="00CD309D"/>
    <w:rsid w:val="00CD4D77"/>
    <w:rsid w:val="00CD4E95"/>
    <w:rsid w:val="00CD50A4"/>
    <w:rsid w:val="00CD59F9"/>
    <w:rsid w:val="00CD5AA7"/>
    <w:rsid w:val="00CD6527"/>
    <w:rsid w:val="00CD6A5B"/>
    <w:rsid w:val="00CD706C"/>
    <w:rsid w:val="00CE02BD"/>
    <w:rsid w:val="00CE02FD"/>
    <w:rsid w:val="00CE090D"/>
    <w:rsid w:val="00CE11CC"/>
    <w:rsid w:val="00CE1EE3"/>
    <w:rsid w:val="00CE2006"/>
    <w:rsid w:val="00CE2248"/>
    <w:rsid w:val="00CE2304"/>
    <w:rsid w:val="00CE23E7"/>
    <w:rsid w:val="00CE2BF7"/>
    <w:rsid w:val="00CE34EB"/>
    <w:rsid w:val="00CE35A6"/>
    <w:rsid w:val="00CE3ADD"/>
    <w:rsid w:val="00CE3C0D"/>
    <w:rsid w:val="00CE4134"/>
    <w:rsid w:val="00CE46FA"/>
    <w:rsid w:val="00CE4E3E"/>
    <w:rsid w:val="00CE4EE8"/>
    <w:rsid w:val="00CE5617"/>
    <w:rsid w:val="00CE5EC7"/>
    <w:rsid w:val="00CE5F78"/>
    <w:rsid w:val="00CE70FE"/>
    <w:rsid w:val="00CE7281"/>
    <w:rsid w:val="00CE757F"/>
    <w:rsid w:val="00CF09FD"/>
    <w:rsid w:val="00CF1275"/>
    <w:rsid w:val="00CF15F1"/>
    <w:rsid w:val="00CF1938"/>
    <w:rsid w:val="00CF200B"/>
    <w:rsid w:val="00CF20EA"/>
    <w:rsid w:val="00CF2AD0"/>
    <w:rsid w:val="00CF2DE4"/>
    <w:rsid w:val="00CF2F6B"/>
    <w:rsid w:val="00CF3152"/>
    <w:rsid w:val="00CF36F9"/>
    <w:rsid w:val="00CF3CC5"/>
    <w:rsid w:val="00CF3EC2"/>
    <w:rsid w:val="00CF428D"/>
    <w:rsid w:val="00CF4873"/>
    <w:rsid w:val="00CF488A"/>
    <w:rsid w:val="00CF4B16"/>
    <w:rsid w:val="00CF5FF7"/>
    <w:rsid w:val="00CF61D3"/>
    <w:rsid w:val="00CF61E6"/>
    <w:rsid w:val="00CF76AB"/>
    <w:rsid w:val="00D011C4"/>
    <w:rsid w:val="00D01ABA"/>
    <w:rsid w:val="00D01BE9"/>
    <w:rsid w:val="00D01D3E"/>
    <w:rsid w:val="00D0248F"/>
    <w:rsid w:val="00D0292C"/>
    <w:rsid w:val="00D02AB8"/>
    <w:rsid w:val="00D030FC"/>
    <w:rsid w:val="00D032A0"/>
    <w:rsid w:val="00D03659"/>
    <w:rsid w:val="00D03672"/>
    <w:rsid w:val="00D03A06"/>
    <w:rsid w:val="00D04C09"/>
    <w:rsid w:val="00D04C4C"/>
    <w:rsid w:val="00D04CDE"/>
    <w:rsid w:val="00D05C11"/>
    <w:rsid w:val="00D05EAF"/>
    <w:rsid w:val="00D06212"/>
    <w:rsid w:val="00D06328"/>
    <w:rsid w:val="00D07FA0"/>
    <w:rsid w:val="00D104E1"/>
    <w:rsid w:val="00D11005"/>
    <w:rsid w:val="00D113D6"/>
    <w:rsid w:val="00D11AE8"/>
    <w:rsid w:val="00D139DE"/>
    <w:rsid w:val="00D143A3"/>
    <w:rsid w:val="00D15988"/>
    <w:rsid w:val="00D15D6E"/>
    <w:rsid w:val="00D1642B"/>
    <w:rsid w:val="00D16723"/>
    <w:rsid w:val="00D16FC8"/>
    <w:rsid w:val="00D170EE"/>
    <w:rsid w:val="00D179AC"/>
    <w:rsid w:val="00D17A3A"/>
    <w:rsid w:val="00D17DA2"/>
    <w:rsid w:val="00D17DE8"/>
    <w:rsid w:val="00D17E69"/>
    <w:rsid w:val="00D211D9"/>
    <w:rsid w:val="00D2237B"/>
    <w:rsid w:val="00D231F2"/>
    <w:rsid w:val="00D23F10"/>
    <w:rsid w:val="00D240CA"/>
    <w:rsid w:val="00D25B8A"/>
    <w:rsid w:val="00D25E14"/>
    <w:rsid w:val="00D26B6B"/>
    <w:rsid w:val="00D27556"/>
    <w:rsid w:val="00D276C5"/>
    <w:rsid w:val="00D309BD"/>
    <w:rsid w:val="00D3155F"/>
    <w:rsid w:val="00D31EDA"/>
    <w:rsid w:val="00D3353E"/>
    <w:rsid w:val="00D34468"/>
    <w:rsid w:val="00D353F4"/>
    <w:rsid w:val="00D35705"/>
    <w:rsid w:val="00D35FCF"/>
    <w:rsid w:val="00D36075"/>
    <w:rsid w:val="00D36D5B"/>
    <w:rsid w:val="00D370C6"/>
    <w:rsid w:val="00D379E5"/>
    <w:rsid w:val="00D403C8"/>
    <w:rsid w:val="00D40589"/>
    <w:rsid w:val="00D40648"/>
    <w:rsid w:val="00D40EEE"/>
    <w:rsid w:val="00D415BE"/>
    <w:rsid w:val="00D43598"/>
    <w:rsid w:val="00D4381A"/>
    <w:rsid w:val="00D439A5"/>
    <w:rsid w:val="00D446E1"/>
    <w:rsid w:val="00D45F07"/>
    <w:rsid w:val="00D47508"/>
    <w:rsid w:val="00D47A12"/>
    <w:rsid w:val="00D47D37"/>
    <w:rsid w:val="00D47D76"/>
    <w:rsid w:val="00D50166"/>
    <w:rsid w:val="00D516D2"/>
    <w:rsid w:val="00D5297B"/>
    <w:rsid w:val="00D52DEF"/>
    <w:rsid w:val="00D52F0A"/>
    <w:rsid w:val="00D53135"/>
    <w:rsid w:val="00D534B2"/>
    <w:rsid w:val="00D53EA7"/>
    <w:rsid w:val="00D54851"/>
    <w:rsid w:val="00D558BC"/>
    <w:rsid w:val="00D57BFF"/>
    <w:rsid w:val="00D60C65"/>
    <w:rsid w:val="00D622F8"/>
    <w:rsid w:val="00D62E72"/>
    <w:rsid w:val="00D63B85"/>
    <w:rsid w:val="00D64E5C"/>
    <w:rsid w:val="00D65D86"/>
    <w:rsid w:val="00D65E47"/>
    <w:rsid w:val="00D6628D"/>
    <w:rsid w:val="00D671BF"/>
    <w:rsid w:val="00D67CCC"/>
    <w:rsid w:val="00D7147F"/>
    <w:rsid w:val="00D71E34"/>
    <w:rsid w:val="00D72BC6"/>
    <w:rsid w:val="00D72D22"/>
    <w:rsid w:val="00D7573C"/>
    <w:rsid w:val="00D75846"/>
    <w:rsid w:val="00D76BDE"/>
    <w:rsid w:val="00D76E80"/>
    <w:rsid w:val="00D77920"/>
    <w:rsid w:val="00D800FD"/>
    <w:rsid w:val="00D80A89"/>
    <w:rsid w:val="00D80F15"/>
    <w:rsid w:val="00D811A8"/>
    <w:rsid w:val="00D817BF"/>
    <w:rsid w:val="00D82407"/>
    <w:rsid w:val="00D83470"/>
    <w:rsid w:val="00D838F7"/>
    <w:rsid w:val="00D83F67"/>
    <w:rsid w:val="00D843D5"/>
    <w:rsid w:val="00D84888"/>
    <w:rsid w:val="00D84A72"/>
    <w:rsid w:val="00D86389"/>
    <w:rsid w:val="00D867D8"/>
    <w:rsid w:val="00D86CEE"/>
    <w:rsid w:val="00D87654"/>
    <w:rsid w:val="00D90A0D"/>
    <w:rsid w:val="00D90C2F"/>
    <w:rsid w:val="00D91414"/>
    <w:rsid w:val="00D92BC5"/>
    <w:rsid w:val="00D92D1A"/>
    <w:rsid w:val="00D93181"/>
    <w:rsid w:val="00D93751"/>
    <w:rsid w:val="00D93B01"/>
    <w:rsid w:val="00D94874"/>
    <w:rsid w:val="00D94D15"/>
    <w:rsid w:val="00D95C59"/>
    <w:rsid w:val="00D96678"/>
    <w:rsid w:val="00D96DD8"/>
    <w:rsid w:val="00D975F4"/>
    <w:rsid w:val="00D97C7D"/>
    <w:rsid w:val="00D97F24"/>
    <w:rsid w:val="00DA14D9"/>
    <w:rsid w:val="00DA1A95"/>
    <w:rsid w:val="00DA1D2C"/>
    <w:rsid w:val="00DA2366"/>
    <w:rsid w:val="00DA3282"/>
    <w:rsid w:val="00DA3507"/>
    <w:rsid w:val="00DA3A7C"/>
    <w:rsid w:val="00DA3E0F"/>
    <w:rsid w:val="00DA521B"/>
    <w:rsid w:val="00DA638F"/>
    <w:rsid w:val="00DA6B13"/>
    <w:rsid w:val="00DA6BBE"/>
    <w:rsid w:val="00DA76AB"/>
    <w:rsid w:val="00DB0009"/>
    <w:rsid w:val="00DB1133"/>
    <w:rsid w:val="00DB2892"/>
    <w:rsid w:val="00DB4163"/>
    <w:rsid w:val="00DB4F36"/>
    <w:rsid w:val="00DB536F"/>
    <w:rsid w:val="00DB538C"/>
    <w:rsid w:val="00DB656F"/>
    <w:rsid w:val="00DB6664"/>
    <w:rsid w:val="00DB6EA9"/>
    <w:rsid w:val="00DB7235"/>
    <w:rsid w:val="00DB78CC"/>
    <w:rsid w:val="00DB78F7"/>
    <w:rsid w:val="00DB7B1E"/>
    <w:rsid w:val="00DC0020"/>
    <w:rsid w:val="00DC0B49"/>
    <w:rsid w:val="00DC1594"/>
    <w:rsid w:val="00DC17C3"/>
    <w:rsid w:val="00DC2711"/>
    <w:rsid w:val="00DC30EE"/>
    <w:rsid w:val="00DC42FE"/>
    <w:rsid w:val="00DC4A7D"/>
    <w:rsid w:val="00DC4BBC"/>
    <w:rsid w:val="00DC4E2A"/>
    <w:rsid w:val="00DC4EEB"/>
    <w:rsid w:val="00DC56B6"/>
    <w:rsid w:val="00DC57E5"/>
    <w:rsid w:val="00DC5EA0"/>
    <w:rsid w:val="00DC6093"/>
    <w:rsid w:val="00DC64A6"/>
    <w:rsid w:val="00DC67BD"/>
    <w:rsid w:val="00DC7752"/>
    <w:rsid w:val="00DC7DE6"/>
    <w:rsid w:val="00DC7EAB"/>
    <w:rsid w:val="00DD066F"/>
    <w:rsid w:val="00DD0824"/>
    <w:rsid w:val="00DD0A96"/>
    <w:rsid w:val="00DD0BBF"/>
    <w:rsid w:val="00DD1304"/>
    <w:rsid w:val="00DD16B2"/>
    <w:rsid w:val="00DD1765"/>
    <w:rsid w:val="00DD196E"/>
    <w:rsid w:val="00DD1AA7"/>
    <w:rsid w:val="00DD324F"/>
    <w:rsid w:val="00DD381D"/>
    <w:rsid w:val="00DD3DCB"/>
    <w:rsid w:val="00DD4013"/>
    <w:rsid w:val="00DD4B87"/>
    <w:rsid w:val="00DD4BA1"/>
    <w:rsid w:val="00DD4EC4"/>
    <w:rsid w:val="00DD5048"/>
    <w:rsid w:val="00DD5CE3"/>
    <w:rsid w:val="00DD5E44"/>
    <w:rsid w:val="00DD72BE"/>
    <w:rsid w:val="00DD76A1"/>
    <w:rsid w:val="00DD787A"/>
    <w:rsid w:val="00DE04D3"/>
    <w:rsid w:val="00DE10F3"/>
    <w:rsid w:val="00DE13D7"/>
    <w:rsid w:val="00DE159C"/>
    <w:rsid w:val="00DE28A8"/>
    <w:rsid w:val="00DE352E"/>
    <w:rsid w:val="00DE38E0"/>
    <w:rsid w:val="00DE4DFA"/>
    <w:rsid w:val="00DE4E21"/>
    <w:rsid w:val="00DE4F02"/>
    <w:rsid w:val="00DE57F9"/>
    <w:rsid w:val="00DE5F0E"/>
    <w:rsid w:val="00DE6EAB"/>
    <w:rsid w:val="00DE788A"/>
    <w:rsid w:val="00DE7E27"/>
    <w:rsid w:val="00DE7ECE"/>
    <w:rsid w:val="00DF0140"/>
    <w:rsid w:val="00DF0313"/>
    <w:rsid w:val="00DF0406"/>
    <w:rsid w:val="00DF0413"/>
    <w:rsid w:val="00DF08D2"/>
    <w:rsid w:val="00DF0B49"/>
    <w:rsid w:val="00DF0C86"/>
    <w:rsid w:val="00DF1B0C"/>
    <w:rsid w:val="00DF20A2"/>
    <w:rsid w:val="00DF3303"/>
    <w:rsid w:val="00DF3FE7"/>
    <w:rsid w:val="00DF42B5"/>
    <w:rsid w:val="00DF4A96"/>
    <w:rsid w:val="00DF4CFD"/>
    <w:rsid w:val="00DF4EE0"/>
    <w:rsid w:val="00DF518D"/>
    <w:rsid w:val="00DF51D3"/>
    <w:rsid w:val="00DF5646"/>
    <w:rsid w:val="00DF564B"/>
    <w:rsid w:val="00DF5674"/>
    <w:rsid w:val="00DF5AC5"/>
    <w:rsid w:val="00DF5BE2"/>
    <w:rsid w:val="00DF600E"/>
    <w:rsid w:val="00DF6BB5"/>
    <w:rsid w:val="00E0273A"/>
    <w:rsid w:val="00E02825"/>
    <w:rsid w:val="00E03345"/>
    <w:rsid w:val="00E04DFD"/>
    <w:rsid w:val="00E04EBE"/>
    <w:rsid w:val="00E06ADC"/>
    <w:rsid w:val="00E06FDB"/>
    <w:rsid w:val="00E100E6"/>
    <w:rsid w:val="00E10B1E"/>
    <w:rsid w:val="00E10D13"/>
    <w:rsid w:val="00E11FA7"/>
    <w:rsid w:val="00E11FCD"/>
    <w:rsid w:val="00E1249B"/>
    <w:rsid w:val="00E13267"/>
    <w:rsid w:val="00E1399C"/>
    <w:rsid w:val="00E1422B"/>
    <w:rsid w:val="00E14363"/>
    <w:rsid w:val="00E148FF"/>
    <w:rsid w:val="00E15348"/>
    <w:rsid w:val="00E1577C"/>
    <w:rsid w:val="00E15A43"/>
    <w:rsid w:val="00E1767C"/>
    <w:rsid w:val="00E1775A"/>
    <w:rsid w:val="00E208F0"/>
    <w:rsid w:val="00E20B36"/>
    <w:rsid w:val="00E20EAD"/>
    <w:rsid w:val="00E20ECE"/>
    <w:rsid w:val="00E21FFF"/>
    <w:rsid w:val="00E226BC"/>
    <w:rsid w:val="00E2297A"/>
    <w:rsid w:val="00E231F6"/>
    <w:rsid w:val="00E23BA8"/>
    <w:rsid w:val="00E242B5"/>
    <w:rsid w:val="00E24C5E"/>
    <w:rsid w:val="00E25626"/>
    <w:rsid w:val="00E2678A"/>
    <w:rsid w:val="00E27339"/>
    <w:rsid w:val="00E27818"/>
    <w:rsid w:val="00E27BBD"/>
    <w:rsid w:val="00E31886"/>
    <w:rsid w:val="00E31ACD"/>
    <w:rsid w:val="00E31C6C"/>
    <w:rsid w:val="00E375C9"/>
    <w:rsid w:val="00E40F88"/>
    <w:rsid w:val="00E40FCD"/>
    <w:rsid w:val="00E41407"/>
    <w:rsid w:val="00E415A4"/>
    <w:rsid w:val="00E42D27"/>
    <w:rsid w:val="00E43938"/>
    <w:rsid w:val="00E439FA"/>
    <w:rsid w:val="00E43C68"/>
    <w:rsid w:val="00E4554E"/>
    <w:rsid w:val="00E4663B"/>
    <w:rsid w:val="00E47E0C"/>
    <w:rsid w:val="00E5001E"/>
    <w:rsid w:val="00E506C8"/>
    <w:rsid w:val="00E50868"/>
    <w:rsid w:val="00E50995"/>
    <w:rsid w:val="00E516CA"/>
    <w:rsid w:val="00E51EE1"/>
    <w:rsid w:val="00E52168"/>
    <w:rsid w:val="00E52D80"/>
    <w:rsid w:val="00E541E3"/>
    <w:rsid w:val="00E544D4"/>
    <w:rsid w:val="00E54A44"/>
    <w:rsid w:val="00E556E8"/>
    <w:rsid w:val="00E55E6E"/>
    <w:rsid w:val="00E56131"/>
    <w:rsid w:val="00E56FE2"/>
    <w:rsid w:val="00E5714E"/>
    <w:rsid w:val="00E57C18"/>
    <w:rsid w:val="00E57E43"/>
    <w:rsid w:val="00E603AE"/>
    <w:rsid w:val="00E60AD7"/>
    <w:rsid w:val="00E60CA4"/>
    <w:rsid w:val="00E60F7F"/>
    <w:rsid w:val="00E6193F"/>
    <w:rsid w:val="00E61ED6"/>
    <w:rsid w:val="00E61FFD"/>
    <w:rsid w:val="00E62352"/>
    <w:rsid w:val="00E62358"/>
    <w:rsid w:val="00E63309"/>
    <w:rsid w:val="00E63734"/>
    <w:rsid w:val="00E63772"/>
    <w:rsid w:val="00E64D7F"/>
    <w:rsid w:val="00E65160"/>
    <w:rsid w:val="00E6540D"/>
    <w:rsid w:val="00E65EE8"/>
    <w:rsid w:val="00E65FC5"/>
    <w:rsid w:val="00E70513"/>
    <w:rsid w:val="00E70B0E"/>
    <w:rsid w:val="00E70D93"/>
    <w:rsid w:val="00E7268B"/>
    <w:rsid w:val="00E732F7"/>
    <w:rsid w:val="00E73D63"/>
    <w:rsid w:val="00E74DBE"/>
    <w:rsid w:val="00E755B7"/>
    <w:rsid w:val="00E767A8"/>
    <w:rsid w:val="00E774D9"/>
    <w:rsid w:val="00E779C8"/>
    <w:rsid w:val="00E77B82"/>
    <w:rsid w:val="00E77D97"/>
    <w:rsid w:val="00E77EA6"/>
    <w:rsid w:val="00E80334"/>
    <w:rsid w:val="00E80538"/>
    <w:rsid w:val="00E8067E"/>
    <w:rsid w:val="00E82497"/>
    <w:rsid w:val="00E82DBD"/>
    <w:rsid w:val="00E83409"/>
    <w:rsid w:val="00E83624"/>
    <w:rsid w:val="00E841D6"/>
    <w:rsid w:val="00E84655"/>
    <w:rsid w:val="00E84F94"/>
    <w:rsid w:val="00E85160"/>
    <w:rsid w:val="00E8618C"/>
    <w:rsid w:val="00E901A5"/>
    <w:rsid w:val="00E901CB"/>
    <w:rsid w:val="00E9030B"/>
    <w:rsid w:val="00E903AF"/>
    <w:rsid w:val="00E904E2"/>
    <w:rsid w:val="00E9098D"/>
    <w:rsid w:val="00E9119F"/>
    <w:rsid w:val="00E9145F"/>
    <w:rsid w:val="00E915B9"/>
    <w:rsid w:val="00E93784"/>
    <w:rsid w:val="00E949BF"/>
    <w:rsid w:val="00E94C86"/>
    <w:rsid w:val="00E94F3F"/>
    <w:rsid w:val="00E95434"/>
    <w:rsid w:val="00E95A06"/>
    <w:rsid w:val="00E9620B"/>
    <w:rsid w:val="00EA1002"/>
    <w:rsid w:val="00EA1EF0"/>
    <w:rsid w:val="00EA2A38"/>
    <w:rsid w:val="00EA4709"/>
    <w:rsid w:val="00EA4B14"/>
    <w:rsid w:val="00EA7C10"/>
    <w:rsid w:val="00EA7DA0"/>
    <w:rsid w:val="00EA7F15"/>
    <w:rsid w:val="00EB0235"/>
    <w:rsid w:val="00EB066E"/>
    <w:rsid w:val="00EB1E23"/>
    <w:rsid w:val="00EB21E3"/>
    <w:rsid w:val="00EB256D"/>
    <w:rsid w:val="00EB2828"/>
    <w:rsid w:val="00EB3361"/>
    <w:rsid w:val="00EB4E3C"/>
    <w:rsid w:val="00EB4ED2"/>
    <w:rsid w:val="00EB5165"/>
    <w:rsid w:val="00EB5711"/>
    <w:rsid w:val="00EB57E7"/>
    <w:rsid w:val="00EB5B24"/>
    <w:rsid w:val="00EB5FD9"/>
    <w:rsid w:val="00EB7DAC"/>
    <w:rsid w:val="00EC009E"/>
    <w:rsid w:val="00EC0F26"/>
    <w:rsid w:val="00EC18FC"/>
    <w:rsid w:val="00EC19EF"/>
    <w:rsid w:val="00EC3B0B"/>
    <w:rsid w:val="00EC429D"/>
    <w:rsid w:val="00EC4945"/>
    <w:rsid w:val="00EC49F4"/>
    <w:rsid w:val="00EC4B7A"/>
    <w:rsid w:val="00EC548A"/>
    <w:rsid w:val="00EC5623"/>
    <w:rsid w:val="00EC5C75"/>
    <w:rsid w:val="00EC6982"/>
    <w:rsid w:val="00EC7677"/>
    <w:rsid w:val="00EC7F49"/>
    <w:rsid w:val="00ED00A6"/>
    <w:rsid w:val="00ED0505"/>
    <w:rsid w:val="00ED0CC2"/>
    <w:rsid w:val="00ED128F"/>
    <w:rsid w:val="00ED21C5"/>
    <w:rsid w:val="00ED2C02"/>
    <w:rsid w:val="00ED323B"/>
    <w:rsid w:val="00ED385A"/>
    <w:rsid w:val="00ED39CD"/>
    <w:rsid w:val="00ED3C78"/>
    <w:rsid w:val="00ED45BC"/>
    <w:rsid w:val="00ED50A2"/>
    <w:rsid w:val="00ED5A25"/>
    <w:rsid w:val="00ED6761"/>
    <w:rsid w:val="00ED7221"/>
    <w:rsid w:val="00ED7275"/>
    <w:rsid w:val="00ED7E81"/>
    <w:rsid w:val="00EE04D7"/>
    <w:rsid w:val="00EE1837"/>
    <w:rsid w:val="00EE1F0E"/>
    <w:rsid w:val="00EE2495"/>
    <w:rsid w:val="00EE2E10"/>
    <w:rsid w:val="00EE366B"/>
    <w:rsid w:val="00EE3D39"/>
    <w:rsid w:val="00EE4309"/>
    <w:rsid w:val="00EE4A85"/>
    <w:rsid w:val="00EE4EDF"/>
    <w:rsid w:val="00EE4F68"/>
    <w:rsid w:val="00EE5C09"/>
    <w:rsid w:val="00EE6147"/>
    <w:rsid w:val="00EE6571"/>
    <w:rsid w:val="00EE7304"/>
    <w:rsid w:val="00EF00C8"/>
    <w:rsid w:val="00EF020F"/>
    <w:rsid w:val="00EF066A"/>
    <w:rsid w:val="00EF0D8B"/>
    <w:rsid w:val="00EF0DC8"/>
    <w:rsid w:val="00EF2856"/>
    <w:rsid w:val="00EF2C0D"/>
    <w:rsid w:val="00EF33E7"/>
    <w:rsid w:val="00EF3DE2"/>
    <w:rsid w:val="00EF3FC7"/>
    <w:rsid w:val="00EF5FEC"/>
    <w:rsid w:val="00EF7097"/>
    <w:rsid w:val="00F000BD"/>
    <w:rsid w:val="00F000C9"/>
    <w:rsid w:val="00F01BE5"/>
    <w:rsid w:val="00F021A7"/>
    <w:rsid w:val="00F0257C"/>
    <w:rsid w:val="00F03488"/>
    <w:rsid w:val="00F036AD"/>
    <w:rsid w:val="00F04252"/>
    <w:rsid w:val="00F0631F"/>
    <w:rsid w:val="00F0656D"/>
    <w:rsid w:val="00F06972"/>
    <w:rsid w:val="00F105D9"/>
    <w:rsid w:val="00F10A18"/>
    <w:rsid w:val="00F10E60"/>
    <w:rsid w:val="00F135E4"/>
    <w:rsid w:val="00F13A43"/>
    <w:rsid w:val="00F14037"/>
    <w:rsid w:val="00F1443F"/>
    <w:rsid w:val="00F149C4"/>
    <w:rsid w:val="00F169ED"/>
    <w:rsid w:val="00F17968"/>
    <w:rsid w:val="00F17A8B"/>
    <w:rsid w:val="00F219AA"/>
    <w:rsid w:val="00F21BB5"/>
    <w:rsid w:val="00F2238D"/>
    <w:rsid w:val="00F2512B"/>
    <w:rsid w:val="00F25D96"/>
    <w:rsid w:val="00F26165"/>
    <w:rsid w:val="00F26917"/>
    <w:rsid w:val="00F30DE2"/>
    <w:rsid w:val="00F311ED"/>
    <w:rsid w:val="00F31323"/>
    <w:rsid w:val="00F3232C"/>
    <w:rsid w:val="00F3256C"/>
    <w:rsid w:val="00F33731"/>
    <w:rsid w:val="00F346BE"/>
    <w:rsid w:val="00F34D72"/>
    <w:rsid w:val="00F35112"/>
    <w:rsid w:val="00F35505"/>
    <w:rsid w:val="00F403D7"/>
    <w:rsid w:val="00F404D2"/>
    <w:rsid w:val="00F40722"/>
    <w:rsid w:val="00F40A8B"/>
    <w:rsid w:val="00F41024"/>
    <w:rsid w:val="00F41C72"/>
    <w:rsid w:val="00F41D61"/>
    <w:rsid w:val="00F41DA0"/>
    <w:rsid w:val="00F42081"/>
    <w:rsid w:val="00F4309F"/>
    <w:rsid w:val="00F433D0"/>
    <w:rsid w:val="00F43DCB"/>
    <w:rsid w:val="00F44015"/>
    <w:rsid w:val="00F444F6"/>
    <w:rsid w:val="00F46FE1"/>
    <w:rsid w:val="00F5169D"/>
    <w:rsid w:val="00F526D2"/>
    <w:rsid w:val="00F52D22"/>
    <w:rsid w:val="00F53732"/>
    <w:rsid w:val="00F53CEB"/>
    <w:rsid w:val="00F54A45"/>
    <w:rsid w:val="00F54F0D"/>
    <w:rsid w:val="00F552B9"/>
    <w:rsid w:val="00F56737"/>
    <w:rsid w:val="00F56B0E"/>
    <w:rsid w:val="00F57BDB"/>
    <w:rsid w:val="00F57F63"/>
    <w:rsid w:val="00F6077C"/>
    <w:rsid w:val="00F60BBE"/>
    <w:rsid w:val="00F61D9C"/>
    <w:rsid w:val="00F62E35"/>
    <w:rsid w:val="00F6354D"/>
    <w:rsid w:val="00F63DD6"/>
    <w:rsid w:val="00F64B77"/>
    <w:rsid w:val="00F64F5B"/>
    <w:rsid w:val="00F660C1"/>
    <w:rsid w:val="00F67E08"/>
    <w:rsid w:val="00F70B9A"/>
    <w:rsid w:val="00F70C20"/>
    <w:rsid w:val="00F70FA5"/>
    <w:rsid w:val="00F723E1"/>
    <w:rsid w:val="00F726CA"/>
    <w:rsid w:val="00F7387B"/>
    <w:rsid w:val="00F73EF8"/>
    <w:rsid w:val="00F750A2"/>
    <w:rsid w:val="00F752C7"/>
    <w:rsid w:val="00F76035"/>
    <w:rsid w:val="00F7690E"/>
    <w:rsid w:val="00F76D14"/>
    <w:rsid w:val="00F7709C"/>
    <w:rsid w:val="00F77CEC"/>
    <w:rsid w:val="00F8012D"/>
    <w:rsid w:val="00F80243"/>
    <w:rsid w:val="00F80D09"/>
    <w:rsid w:val="00F81B9B"/>
    <w:rsid w:val="00F82BDC"/>
    <w:rsid w:val="00F8332F"/>
    <w:rsid w:val="00F83AC9"/>
    <w:rsid w:val="00F83CAD"/>
    <w:rsid w:val="00F84975"/>
    <w:rsid w:val="00F84BFE"/>
    <w:rsid w:val="00F853E0"/>
    <w:rsid w:val="00F86411"/>
    <w:rsid w:val="00F87079"/>
    <w:rsid w:val="00F876C7"/>
    <w:rsid w:val="00F901E7"/>
    <w:rsid w:val="00F9044F"/>
    <w:rsid w:val="00F91A08"/>
    <w:rsid w:val="00F92983"/>
    <w:rsid w:val="00F92BDE"/>
    <w:rsid w:val="00F930E1"/>
    <w:rsid w:val="00F93370"/>
    <w:rsid w:val="00F9370B"/>
    <w:rsid w:val="00F93782"/>
    <w:rsid w:val="00F93C44"/>
    <w:rsid w:val="00F94136"/>
    <w:rsid w:val="00F95AD0"/>
    <w:rsid w:val="00F9650E"/>
    <w:rsid w:val="00F97AA3"/>
    <w:rsid w:val="00FA063F"/>
    <w:rsid w:val="00FA0999"/>
    <w:rsid w:val="00FA0FB2"/>
    <w:rsid w:val="00FA10D8"/>
    <w:rsid w:val="00FA1138"/>
    <w:rsid w:val="00FA13B3"/>
    <w:rsid w:val="00FA151C"/>
    <w:rsid w:val="00FA1AFD"/>
    <w:rsid w:val="00FA2E13"/>
    <w:rsid w:val="00FA3D6D"/>
    <w:rsid w:val="00FA426A"/>
    <w:rsid w:val="00FA57F6"/>
    <w:rsid w:val="00FA5BC9"/>
    <w:rsid w:val="00FA63D1"/>
    <w:rsid w:val="00FA6C1B"/>
    <w:rsid w:val="00FA7D51"/>
    <w:rsid w:val="00FB009B"/>
    <w:rsid w:val="00FB02DF"/>
    <w:rsid w:val="00FB12C9"/>
    <w:rsid w:val="00FB1D89"/>
    <w:rsid w:val="00FB233C"/>
    <w:rsid w:val="00FB23AD"/>
    <w:rsid w:val="00FB3583"/>
    <w:rsid w:val="00FB4226"/>
    <w:rsid w:val="00FB4894"/>
    <w:rsid w:val="00FB4D6B"/>
    <w:rsid w:val="00FB642F"/>
    <w:rsid w:val="00FB6A04"/>
    <w:rsid w:val="00FB7F74"/>
    <w:rsid w:val="00FC0111"/>
    <w:rsid w:val="00FC0B05"/>
    <w:rsid w:val="00FC1104"/>
    <w:rsid w:val="00FC1259"/>
    <w:rsid w:val="00FC2C21"/>
    <w:rsid w:val="00FC4DC4"/>
    <w:rsid w:val="00FC5066"/>
    <w:rsid w:val="00FC5186"/>
    <w:rsid w:val="00FC519C"/>
    <w:rsid w:val="00FC5283"/>
    <w:rsid w:val="00FC56F3"/>
    <w:rsid w:val="00FC608D"/>
    <w:rsid w:val="00FC6274"/>
    <w:rsid w:val="00FC6DC1"/>
    <w:rsid w:val="00FC7486"/>
    <w:rsid w:val="00FC7E1C"/>
    <w:rsid w:val="00FD0723"/>
    <w:rsid w:val="00FD11AA"/>
    <w:rsid w:val="00FD11E7"/>
    <w:rsid w:val="00FD1CD8"/>
    <w:rsid w:val="00FD2B6B"/>
    <w:rsid w:val="00FD30FA"/>
    <w:rsid w:val="00FD393B"/>
    <w:rsid w:val="00FD4FCA"/>
    <w:rsid w:val="00FD581B"/>
    <w:rsid w:val="00FD5B06"/>
    <w:rsid w:val="00FD5E1A"/>
    <w:rsid w:val="00FD744E"/>
    <w:rsid w:val="00FD74B8"/>
    <w:rsid w:val="00FE087F"/>
    <w:rsid w:val="00FE13CA"/>
    <w:rsid w:val="00FE203A"/>
    <w:rsid w:val="00FE2537"/>
    <w:rsid w:val="00FE295A"/>
    <w:rsid w:val="00FE3172"/>
    <w:rsid w:val="00FE3783"/>
    <w:rsid w:val="00FE4297"/>
    <w:rsid w:val="00FE4D31"/>
    <w:rsid w:val="00FE5C24"/>
    <w:rsid w:val="00FE5D03"/>
    <w:rsid w:val="00FE5D75"/>
    <w:rsid w:val="00FE6202"/>
    <w:rsid w:val="00FE65A6"/>
    <w:rsid w:val="00FE68D9"/>
    <w:rsid w:val="00FE7432"/>
    <w:rsid w:val="00FE7E42"/>
    <w:rsid w:val="00FF03D2"/>
    <w:rsid w:val="00FF0F96"/>
    <w:rsid w:val="00FF0FA7"/>
    <w:rsid w:val="00FF165D"/>
    <w:rsid w:val="00FF1BB2"/>
    <w:rsid w:val="00FF1DB5"/>
    <w:rsid w:val="00FF2CBD"/>
    <w:rsid w:val="00FF3565"/>
    <w:rsid w:val="00FF3E7E"/>
    <w:rsid w:val="00FF4EAE"/>
    <w:rsid w:val="00FF5157"/>
    <w:rsid w:val="00FF7554"/>
    <w:rsid w:val="00FF7D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060,#003e00"/>
    </o:shapedefaults>
    <o:shapelayout v:ext="edit">
      <o:idmap v:ext="edit" data="2"/>
    </o:shapelayout>
  </w:shapeDefaults>
  <w:decimalSymbol w:val=","/>
  <w:listSeparator w:val=";"/>
  <w14:docId w14:val="12E5268A"/>
  <w15:docId w15:val="{2F933260-1A20-4266-8A93-1AA90D2C54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D01ABA"/>
    <w:pPr>
      <w:spacing w:after="120"/>
      <w:jc w:val="both"/>
    </w:pPr>
    <w:rPr>
      <w:sz w:val="24"/>
      <w:szCs w:val="24"/>
    </w:rPr>
  </w:style>
  <w:style w:type="paragraph" w:styleId="10">
    <w:name w:val="heading 1"/>
    <w:next w:val="a"/>
    <w:link w:val="11"/>
    <w:qFormat/>
    <w:rsid w:val="00D01ABA"/>
    <w:pPr>
      <w:keepNext/>
      <w:keepLines/>
      <w:spacing w:before="600" w:after="120"/>
      <w:outlineLvl w:val="0"/>
    </w:pPr>
    <w:rPr>
      <w:rFonts w:ascii="Arial" w:hAnsi="Arial" w:cs="Arial"/>
      <w:b/>
      <w:bCs/>
      <w:kern w:val="32"/>
      <w:sz w:val="32"/>
      <w:szCs w:val="32"/>
    </w:rPr>
  </w:style>
  <w:style w:type="paragraph" w:styleId="2">
    <w:name w:val="heading 2"/>
    <w:next w:val="a"/>
    <w:link w:val="20"/>
    <w:qFormat/>
    <w:rsid w:val="00D01ABA"/>
    <w:pPr>
      <w:keepNext/>
      <w:keepLines/>
      <w:spacing w:before="360" w:after="120"/>
      <w:jc w:val="both"/>
      <w:outlineLvl w:val="1"/>
    </w:pPr>
    <w:rPr>
      <w:rFonts w:ascii="Arial" w:hAnsi="Arial" w:cs="Arial"/>
      <w:b/>
      <w:bCs/>
      <w:i/>
      <w:iCs/>
      <w:sz w:val="28"/>
      <w:szCs w:val="28"/>
    </w:rPr>
  </w:style>
  <w:style w:type="paragraph" w:styleId="3">
    <w:name w:val="heading 3"/>
    <w:basedOn w:val="a"/>
    <w:next w:val="a"/>
    <w:link w:val="30"/>
    <w:qFormat/>
    <w:rsid w:val="00D01ABA"/>
    <w:pPr>
      <w:keepNext/>
      <w:keepLines/>
      <w:ind w:firstLine="709"/>
      <w:outlineLvl w:val="2"/>
    </w:pPr>
    <w:rPr>
      <w:rFonts w:ascii="Arial" w:hAnsi="Arial" w:cs="Arial"/>
      <w:bCs/>
      <w:i/>
      <w:szCs w:val="26"/>
    </w:rPr>
  </w:style>
  <w:style w:type="paragraph" w:styleId="4">
    <w:name w:val="heading 4"/>
    <w:basedOn w:val="a"/>
    <w:next w:val="a"/>
    <w:link w:val="40"/>
    <w:qFormat/>
    <w:rsid w:val="002337F8"/>
    <w:pPr>
      <w:keepNext/>
      <w:spacing w:before="240" w:after="60"/>
      <w:outlineLvl w:val="3"/>
    </w:pPr>
    <w:rPr>
      <w:rFonts w:ascii="Calibri" w:hAnsi="Calibri"/>
      <w:b/>
      <w:bCs/>
      <w:sz w:val="28"/>
      <w:szCs w:val="28"/>
    </w:rPr>
  </w:style>
  <w:style w:type="paragraph" w:styleId="7">
    <w:name w:val="heading 7"/>
    <w:basedOn w:val="a"/>
    <w:next w:val="a"/>
    <w:qFormat/>
    <w:rsid w:val="000C1A46"/>
    <w:pPr>
      <w:spacing w:before="240" w:after="60"/>
      <w:jc w:val="left"/>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rsid w:val="00FC0B05"/>
    <w:rPr>
      <w:rFonts w:ascii="Arial" w:hAnsi="Arial" w:cs="Arial"/>
      <w:b/>
      <w:bCs/>
      <w:kern w:val="32"/>
      <w:sz w:val="32"/>
      <w:szCs w:val="32"/>
      <w:lang w:val="ru-RU" w:eastAsia="ru-RU" w:bidi="ar-SA"/>
    </w:rPr>
  </w:style>
  <w:style w:type="character" w:customStyle="1" w:styleId="20">
    <w:name w:val="Заголовок 2 Знак"/>
    <w:link w:val="2"/>
    <w:rsid w:val="000C1A46"/>
    <w:rPr>
      <w:rFonts w:ascii="Arial" w:hAnsi="Arial" w:cs="Arial"/>
      <w:b/>
      <w:bCs/>
      <w:i/>
      <w:iCs/>
      <w:sz w:val="28"/>
      <w:szCs w:val="28"/>
      <w:lang w:val="ru-RU" w:eastAsia="ru-RU" w:bidi="ar-SA"/>
    </w:rPr>
  </w:style>
  <w:style w:type="character" w:customStyle="1" w:styleId="30">
    <w:name w:val="Заголовок 3 Знак"/>
    <w:link w:val="3"/>
    <w:rsid w:val="00D01ABA"/>
    <w:rPr>
      <w:rFonts w:ascii="Arial" w:hAnsi="Arial" w:cs="Arial"/>
      <w:bCs/>
      <w:i/>
      <w:sz w:val="24"/>
      <w:szCs w:val="26"/>
      <w:lang w:val="ru-RU" w:eastAsia="ru-RU" w:bidi="ar-SA"/>
    </w:rPr>
  </w:style>
  <w:style w:type="character" w:customStyle="1" w:styleId="40">
    <w:name w:val="Заголовок 4 Знак"/>
    <w:link w:val="4"/>
    <w:rsid w:val="002337F8"/>
    <w:rPr>
      <w:rFonts w:ascii="Calibri" w:eastAsia="Times New Roman" w:hAnsi="Calibri" w:cs="Times New Roman"/>
      <w:b/>
      <w:bCs/>
      <w:sz w:val="28"/>
      <w:szCs w:val="28"/>
    </w:rPr>
  </w:style>
  <w:style w:type="paragraph" w:styleId="12">
    <w:name w:val="toc 1"/>
    <w:basedOn w:val="a"/>
    <w:next w:val="a"/>
    <w:link w:val="13"/>
    <w:uiPriority w:val="39"/>
    <w:rsid w:val="00D01ABA"/>
    <w:pPr>
      <w:keepNext/>
      <w:keepLines/>
      <w:spacing w:before="240" w:after="0"/>
      <w:jc w:val="left"/>
    </w:pPr>
    <w:rPr>
      <w:b/>
      <w:sz w:val="28"/>
    </w:rPr>
  </w:style>
  <w:style w:type="character" w:customStyle="1" w:styleId="13">
    <w:name w:val="Оглавление 1 Знак"/>
    <w:link w:val="12"/>
    <w:rsid w:val="00D01ABA"/>
    <w:rPr>
      <w:b/>
      <w:sz w:val="28"/>
      <w:szCs w:val="24"/>
      <w:lang w:val="ru-RU" w:eastAsia="ru-RU" w:bidi="ar-SA"/>
    </w:rPr>
  </w:style>
  <w:style w:type="paragraph" w:styleId="31">
    <w:name w:val="toc 3"/>
    <w:basedOn w:val="a"/>
    <w:next w:val="a"/>
    <w:uiPriority w:val="39"/>
    <w:rsid w:val="009071FC"/>
    <w:pPr>
      <w:keepLines/>
      <w:pBdr>
        <w:left w:val="single" w:sz="12" w:space="4" w:color="808080"/>
      </w:pBdr>
      <w:tabs>
        <w:tab w:val="right" w:pos="11340"/>
      </w:tabs>
      <w:spacing w:before="40" w:after="0"/>
      <w:ind w:left="567" w:right="567"/>
    </w:pPr>
    <w:rPr>
      <w:noProof/>
    </w:rPr>
  </w:style>
  <w:style w:type="paragraph" w:styleId="21">
    <w:name w:val="toc 2"/>
    <w:basedOn w:val="a"/>
    <w:next w:val="a"/>
    <w:uiPriority w:val="39"/>
    <w:rsid w:val="00D01ABA"/>
    <w:pPr>
      <w:keepNext/>
      <w:keepLines/>
      <w:spacing w:before="60" w:after="0"/>
      <w:jc w:val="left"/>
    </w:pPr>
  </w:style>
  <w:style w:type="character" w:styleId="a3">
    <w:name w:val="Hyperlink"/>
    <w:uiPriority w:val="99"/>
    <w:rsid w:val="00D01ABA"/>
    <w:rPr>
      <w:color w:val="0000FF"/>
      <w:u w:val="single"/>
    </w:rPr>
  </w:style>
  <w:style w:type="table" w:styleId="a4">
    <w:name w:val="Table Grid"/>
    <w:basedOn w:val="a1"/>
    <w:rsid w:val="00D01ABA"/>
    <w:pPr>
      <w:spacing w:line="360" w:lineRule="auto"/>
      <w:ind w:left="14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5">
    <w:name w:val="Об авторе"/>
    <w:basedOn w:val="a"/>
    <w:rsid w:val="00D01ABA"/>
    <w:pPr>
      <w:ind w:right="-55"/>
      <w:jc w:val="left"/>
    </w:pPr>
    <w:rPr>
      <w:color w:val="333333"/>
      <w:sz w:val="40"/>
      <w:szCs w:val="20"/>
    </w:rPr>
  </w:style>
  <w:style w:type="paragraph" w:customStyle="1" w:styleId="a6">
    <w:name w:val="Темы дня"/>
    <w:basedOn w:val="a"/>
    <w:rsid w:val="00D01ABA"/>
    <w:pPr>
      <w:keepLines/>
      <w:spacing w:after="240"/>
    </w:pPr>
    <w:rPr>
      <w:i/>
    </w:rPr>
  </w:style>
  <w:style w:type="paragraph" w:styleId="a7">
    <w:name w:val="Block Text"/>
    <w:basedOn w:val="a6"/>
    <w:rsid w:val="00D01ABA"/>
    <w:rPr>
      <w:bCs/>
    </w:rPr>
  </w:style>
  <w:style w:type="paragraph" w:customStyle="1" w:styleId="a8">
    <w:name w:val="Заголовок введения"/>
    <w:rsid w:val="00D01ABA"/>
    <w:pPr>
      <w:keepNext/>
      <w:keepLines/>
      <w:shd w:val="clear" w:color="auto" w:fill="C0C0C0"/>
      <w:spacing w:before="360" w:after="240"/>
    </w:pPr>
    <w:rPr>
      <w:rFonts w:cs="Arial"/>
      <w:b/>
      <w:bCs/>
      <w:sz w:val="24"/>
      <w:szCs w:val="26"/>
    </w:rPr>
  </w:style>
  <w:style w:type="paragraph" w:customStyle="1" w:styleId="a9">
    <w:name w:val="Публикации дня"/>
    <w:rsid w:val="00D01ABA"/>
    <w:pPr>
      <w:keepNext/>
      <w:keepLines/>
      <w:pageBreakBefore/>
      <w:shd w:val="clear" w:color="auto" w:fill="C0C0C0"/>
      <w:spacing w:before="240" w:after="240"/>
      <w:jc w:val="center"/>
    </w:pPr>
    <w:rPr>
      <w:rFonts w:cs="Arial"/>
      <w:b/>
      <w:bCs/>
      <w:kern w:val="32"/>
      <w:sz w:val="32"/>
      <w:szCs w:val="32"/>
    </w:rPr>
  </w:style>
  <w:style w:type="paragraph" w:styleId="aa">
    <w:name w:val="Normal (Web)"/>
    <w:basedOn w:val="a"/>
    <w:link w:val="ab"/>
    <w:uiPriority w:val="99"/>
    <w:rsid w:val="002337F8"/>
    <w:pPr>
      <w:spacing w:before="100" w:beforeAutospacing="1" w:after="100" w:afterAutospacing="1" w:line="360" w:lineRule="auto"/>
      <w:ind w:left="1440"/>
      <w:jc w:val="left"/>
    </w:pPr>
    <w:rPr>
      <w:rFonts w:ascii="Verdana" w:eastAsia="Verdana" w:hAnsi="Verdana"/>
      <w:sz w:val="20"/>
      <w:szCs w:val="20"/>
    </w:rPr>
  </w:style>
  <w:style w:type="character" w:customStyle="1" w:styleId="ab">
    <w:name w:val="Обычный (Интернет) Знак"/>
    <w:link w:val="aa"/>
    <w:rsid w:val="002337F8"/>
    <w:rPr>
      <w:rFonts w:ascii="Verdana" w:eastAsia="Verdana" w:hAnsi="Verdana"/>
    </w:rPr>
  </w:style>
  <w:style w:type="paragraph" w:customStyle="1" w:styleId="ac">
    <w:name w:val="Текст документа"/>
    <w:basedOn w:val="aa"/>
    <w:link w:val="ad"/>
    <w:autoRedefine/>
    <w:rsid w:val="0089541B"/>
    <w:pPr>
      <w:spacing w:line="240" w:lineRule="auto"/>
      <w:ind w:left="0"/>
      <w:jc w:val="both"/>
    </w:pPr>
    <w:rPr>
      <w:rFonts w:ascii="Times New Roman" w:hAnsi="Times New Roman"/>
      <w:color w:val="000000"/>
      <w:sz w:val="24"/>
      <w:szCs w:val="24"/>
    </w:rPr>
  </w:style>
  <w:style w:type="character" w:customStyle="1" w:styleId="ad">
    <w:name w:val="Текст документа Знак Знак"/>
    <w:link w:val="ac"/>
    <w:rsid w:val="0089541B"/>
    <w:rPr>
      <w:rFonts w:eastAsia="Verdana"/>
      <w:color w:val="000000"/>
      <w:sz w:val="24"/>
      <w:szCs w:val="24"/>
    </w:rPr>
  </w:style>
  <w:style w:type="paragraph" w:customStyle="1" w:styleId="22">
    <w:name w:val="Заглавие 2"/>
    <w:basedOn w:val="2"/>
    <w:autoRedefine/>
    <w:rsid w:val="002337F8"/>
    <w:pPr>
      <w:spacing w:before="960" w:after="60"/>
      <w:jc w:val="left"/>
    </w:pPr>
    <w:rPr>
      <w:b w:val="0"/>
      <w:i w:val="0"/>
      <w:sz w:val="32"/>
    </w:rPr>
  </w:style>
  <w:style w:type="paragraph" w:customStyle="1" w:styleId="ae">
    <w:name w:val="Похожие сообщения раздел"/>
    <w:basedOn w:val="a"/>
    <w:link w:val="Char"/>
    <w:rsid w:val="002337F8"/>
    <w:pPr>
      <w:spacing w:before="120" w:line="360" w:lineRule="auto"/>
      <w:ind w:left="1440"/>
    </w:pPr>
    <w:rPr>
      <w:rFonts w:ascii="Arial" w:eastAsia="Verdana" w:hAnsi="Arial"/>
      <w:b/>
      <w:bCs/>
      <w:color w:val="808080"/>
      <w:szCs w:val="20"/>
    </w:rPr>
  </w:style>
  <w:style w:type="character" w:customStyle="1" w:styleId="Char">
    <w:name w:val="Похожие сообщения раздел Char"/>
    <w:link w:val="ae"/>
    <w:rsid w:val="002337F8"/>
    <w:rPr>
      <w:rFonts w:ascii="Arial" w:eastAsia="Verdana" w:hAnsi="Arial"/>
      <w:b/>
      <w:bCs/>
      <w:color w:val="808080"/>
      <w:sz w:val="24"/>
    </w:rPr>
  </w:style>
  <w:style w:type="paragraph" w:customStyle="1" w:styleId="af">
    <w:name w:val="Похожие сообщения заголовок"/>
    <w:basedOn w:val="ae"/>
    <w:link w:val="Char0"/>
    <w:rsid w:val="00874788"/>
    <w:pPr>
      <w:spacing w:after="240" w:line="240" w:lineRule="auto"/>
      <w:jc w:val="left"/>
      <w:outlineLvl w:val="4"/>
    </w:pPr>
  </w:style>
  <w:style w:type="character" w:customStyle="1" w:styleId="Char0">
    <w:name w:val="Похожие сообщения заголовок Char"/>
    <w:link w:val="af"/>
    <w:rsid w:val="00874788"/>
    <w:rPr>
      <w:rFonts w:ascii="Arial" w:eastAsia="Verdana" w:hAnsi="Arial"/>
      <w:b/>
      <w:bCs/>
      <w:color w:val="808080"/>
      <w:sz w:val="24"/>
      <w:lang w:val="ru-RU" w:eastAsia="ru-RU" w:bidi="ar-SA"/>
    </w:rPr>
  </w:style>
  <w:style w:type="character" w:customStyle="1" w:styleId="23">
    <w:name w:val="Источник и дата 2"/>
    <w:rsid w:val="002337F8"/>
    <w:rPr>
      <w:rFonts w:ascii="Arial" w:hAnsi="Arial"/>
      <w:sz w:val="16"/>
      <w:lang w:val="ru-RU" w:eastAsia="ru-RU" w:bidi="ar-SA"/>
    </w:rPr>
  </w:style>
  <w:style w:type="paragraph" w:customStyle="1" w:styleId="41">
    <w:name w:val="Заглавие 4"/>
    <w:basedOn w:val="4"/>
    <w:link w:val="4CharChar"/>
    <w:autoRedefine/>
    <w:rsid w:val="00DE13D7"/>
    <w:pPr>
      <w:keepLines/>
      <w:spacing w:before="360" w:line="360" w:lineRule="auto"/>
    </w:pPr>
    <w:rPr>
      <w:rFonts w:ascii="Arial" w:hAnsi="Arial"/>
      <w:sz w:val="24"/>
    </w:rPr>
  </w:style>
  <w:style w:type="character" w:customStyle="1" w:styleId="4CharChar">
    <w:name w:val="Заглавие 4 Char Char"/>
    <w:link w:val="41"/>
    <w:rsid w:val="00DE13D7"/>
    <w:rPr>
      <w:rFonts w:ascii="Arial" w:eastAsia="Times New Roman" w:hAnsi="Arial" w:cs="Times New Roman"/>
      <w:b/>
      <w:bCs/>
      <w:sz w:val="24"/>
      <w:szCs w:val="28"/>
    </w:rPr>
  </w:style>
  <w:style w:type="paragraph" w:styleId="af0">
    <w:name w:val="Document Map"/>
    <w:basedOn w:val="a"/>
    <w:link w:val="af1"/>
    <w:rsid w:val="002A12F4"/>
    <w:pPr>
      <w:shd w:val="clear" w:color="auto" w:fill="000080"/>
    </w:pPr>
    <w:rPr>
      <w:rFonts w:ascii="Tahoma" w:hAnsi="Tahoma"/>
      <w:sz w:val="20"/>
      <w:szCs w:val="20"/>
    </w:rPr>
  </w:style>
  <w:style w:type="character" w:customStyle="1" w:styleId="af1">
    <w:name w:val="Схема документа Знак"/>
    <w:link w:val="af0"/>
    <w:rsid w:val="00A0290C"/>
    <w:rPr>
      <w:rFonts w:ascii="Tahoma" w:hAnsi="Tahoma" w:cs="Tahoma"/>
      <w:shd w:val="clear" w:color="auto" w:fill="000080"/>
    </w:rPr>
  </w:style>
  <w:style w:type="paragraph" w:styleId="af2">
    <w:name w:val="header"/>
    <w:basedOn w:val="a"/>
    <w:link w:val="af3"/>
    <w:rsid w:val="002A12F4"/>
    <w:pPr>
      <w:tabs>
        <w:tab w:val="center" w:pos="4677"/>
        <w:tab w:val="right" w:pos="9355"/>
      </w:tabs>
    </w:pPr>
  </w:style>
  <w:style w:type="character" w:customStyle="1" w:styleId="af3">
    <w:name w:val="Верхний колонтитул Знак"/>
    <w:link w:val="af2"/>
    <w:rsid w:val="00A0290C"/>
    <w:rPr>
      <w:sz w:val="24"/>
      <w:szCs w:val="24"/>
    </w:rPr>
  </w:style>
  <w:style w:type="paragraph" w:styleId="af4">
    <w:name w:val="footer"/>
    <w:basedOn w:val="a"/>
    <w:link w:val="af5"/>
    <w:uiPriority w:val="99"/>
    <w:rsid w:val="002A12F4"/>
    <w:pPr>
      <w:tabs>
        <w:tab w:val="center" w:pos="4677"/>
        <w:tab w:val="right" w:pos="9355"/>
      </w:tabs>
    </w:pPr>
  </w:style>
  <w:style w:type="character" w:customStyle="1" w:styleId="af5">
    <w:name w:val="Нижний колонтитул Знак"/>
    <w:link w:val="af4"/>
    <w:uiPriority w:val="99"/>
    <w:rsid w:val="00A0290C"/>
    <w:rPr>
      <w:sz w:val="24"/>
      <w:szCs w:val="24"/>
    </w:rPr>
  </w:style>
  <w:style w:type="paragraph" w:styleId="42">
    <w:name w:val="toc 4"/>
    <w:basedOn w:val="a"/>
    <w:next w:val="a"/>
    <w:autoRedefine/>
    <w:uiPriority w:val="39"/>
    <w:rsid w:val="00684C00"/>
    <w:pPr>
      <w:ind w:left="720"/>
    </w:pPr>
  </w:style>
  <w:style w:type="paragraph" w:customStyle="1" w:styleId="af6">
    <w:name w:val="Заголовок раздела"/>
    <w:basedOn w:val="10"/>
    <w:next w:val="a"/>
    <w:rsid w:val="000912D7"/>
    <w:pPr>
      <w:shd w:val="clear" w:color="auto" w:fill="C0C0C0"/>
    </w:pPr>
  </w:style>
  <w:style w:type="paragraph" w:customStyle="1" w:styleId="25">
    <w:name w:val="Стиль Заголовок раздела + Узор: Нет (Серый 25%)"/>
    <w:basedOn w:val="af6"/>
    <w:rsid w:val="000912D7"/>
    <w:pPr>
      <w:shd w:val="clear" w:color="auto" w:fill="008000"/>
    </w:pPr>
    <w:rPr>
      <w:shd w:val="clear" w:color="auto" w:fill="C0C0C0"/>
    </w:rPr>
  </w:style>
  <w:style w:type="paragraph" w:styleId="5">
    <w:name w:val="toc 5"/>
    <w:basedOn w:val="a"/>
    <w:next w:val="a"/>
    <w:uiPriority w:val="39"/>
    <w:rsid w:val="003F1B8B"/>
    <w:pPr>
      <w:ind w:left="960"/>
    </w:pPr>
    <w:rPr>
      <w:sz w:val="20"/>
    </w:rPr>
  </w:style>
  <w:style w:type="paragraph" w:customStyle="1" w:styleId="50">
    <w:name w:val="Заглавие 5"/>
    <w:basedOn w:val="a"/>
    <w:link w:val="51"/>
    <w:rsid w:val="00DE13D7"/>
    <w:pPr>
      <w:keepNext/>
      <w:keepLines/>
      <w:pBdr>
        <w:left w:val="thinThickSmallGap" w:sz="18" w:space="4" w:color="808080"/>
      </w:pBdr>
      <w:spacing w:after="0" w:line="360" w:lineRule="auto"/>
      <w:ind w:left="851"/>
      <w:outlineLvl w:val="4"/>
    </w:pPr>
    <w:rPr>
      <w:rFonts w:ascii="Arial" w:hAnsi="Arial"/>
      <w:i/>
      <w:sz w:val="16"/>
    </w:rPr>
  </w:style>
  <w:style w:type="character" w:customStyle="1" w:styleId="51">
    <w:name w:val="Заглавие 5 Знак"/>
    <w:link w:val="50"/>
    <w:rsid w:val="00DE13D7"/>
    <w:rPr>
      <w:rFonts w:ascii="Arial" w:hAnsi="Arial"/>
      <w:i/>
      <w:sz w:val="16"/>
      <w:szCs w:val="24"/>
    </w:rPr>
  </w:style>
  <w:style w:type="paragraph" w:styleId="af7">
    <w:name w:val="Title"/>
    <w:basedOn w:val="a"/>
    <w:next w:val="a"/>
    <w:link w:val="af8"/>
    <w:qFormat/>
    <w:rsid w:val="00A0290C"/>
    <w:pPr>
      <w:spacing w:before="240" w:after="60"/>
      <w:jc w:val="center"/>
      <w:outlineLvl w:val="0"/>
    </w:pPr>
    <w:rPr>
      <w:rFonts w:ascii="Cambria" w:hAnsi="Cambria"/>
      <w:b/>
      <w:bCs/>
      <w:kern w:val="28"/>
      <w:sz w:val="32"/>
      <w:szCs w:val="32"/>
    </w:rPr>
  </w:style>
  <w:style w:type="character" w:customStyle="1" w:styleId="af8">
    <w:name w:val="Заголовок Знак"/>
    <w:link w:val="af7"/>
    <w:rsid w:val="00A0290C"/>
    <w:rPr>
      <w:rFonts w:ascii="Cambria" w:hAnsi="Cambria"/>
      <w:b/>
      <w:bCs/>
      <w:kern w:val="28"/>
      <w:sz w:val="32"/>
      <w:szCs w:val="32"/>
    </w:rPr>
  </w:style>
  <w:style w:type="character" w:styleId="af9">
    <w:name w:val="Strong"/>
    <w:uiPriority w:val="22"/>
    <w:qFormat/>
    <w:rsid w:val="00A0290C"/>
    <w:rPr>
      <w:rFonts w:ascii="Verdana" w:eastAsia="Verdana" w:hAnsi="Verdana" w:hint="default"/>
      <w:b/>
      <w:bCs/>
      <w:sz w:val="20"/>
      <w:szCs w:val="20"/>
    </w:rPr>
  </w:style>
  <w:style w:type="character" w:styleId="afa">
    <w:name w:val="Emphasis"/>
    <w:qFormat/>
    <w:rsid w:val="00A0290C"/>
    <w:rPr>
      <w:i/>
      <w:iCs/>
    </w:rPr>
  </w:style>
  <w:style w:type="character" w:customStyle="1" w:styleId="afb">
    <w:name w:val="Основной текст Знак"/>
    <w:link w:val="afc"/>
    <w:rsid w:val="00A0290C"/>
    <w:rPr>
      <w:rFonts w:ascii="Verdana" w:hAnsi="Verdana"/>
      <w:szCs w:val="24"/>
    </w:rPr>
  </w:style>
  <w:style w:type="paragraph" w:styleId="afc">
    <w:name w:val="Body Text"/>
    <w:basedOn w:val="a"/>
    <w:link w:val="afb"/>
    <w:rsid w:val="00A0290C"/>
    <w:pPr>
      <w:spacing w:after="0"/>
    </w:pPr>
    <w:rPr>
      <w:rFonts w:ascii="Verdana" w:hAnsi="Verdana"/>
      <w:sz w:val="20"/>
    </w:rPr>
  </w:style>
  <w:style w:type="paragraph" w:customStyle="1" w:styleId="afd">
    <w:name w:val="Источник и дата"/>
    <w:basedOn w:val="a"/>
    <w:link w:val="Char1"/>
    <w:autoRedefine/>
    <w:rsid w:val="00A0290C"/>
    <w:pPr>
      <w:spacing w:before="720"/>
      <w:ind w:left="1440"/>
      <w:jc w:val="left"/>
    </w:pPr>
    <w:rPr>
      <w:rFonts w:ascii="Arial" w:hAnsi="Arial"/>
      <w:sz w:val="16"/>
      <w:szCs w:val="20"/>
    </w:rPr>
  </w:style>
  <w:style w:type="character" w:customStyle="1" w:styleId="Char1">
    <w:name w:val="Источник и дата Char"/>
    <w:link w:val="afd"/>
    <w:rsid w:val="00A0290C"/>
    <w:rPr>
      <w:rFonts w:ascii="Arial" w:hAnsi="Arial"/>
      <w:sz w:val="16"/>
    </w:rPr>
  </w:style>
  <w:style w:type="paragraph" w:customStyle="1" w:styleId="32">
    <w:name w:val="Заглавие 3"/>
    <w:basedOn w:val="3"/>
    <w:link w:val="3Char"/>
    <w:autoRedefine/>
    <w:rsid w:val="00A0290C"/>
    <w:pPr>
      <w:spacing w:before="240"/>
      <w:ind w:firstLine="0"/>
      <w:jc w:val="left"/>
    </w:pPr>
    <w:rPr>
      <w:rFonts w:eastAsia="Verdana"/>
      <w:sz w:val="28"/>
    </w:rPr>
  </w:style>
  <w:style w:type="character" w:customStyle="1" w:styleId="3Char">
    <w:name w:val="Заглавие 3 Char"/>
    <w:link w:val="32"/>
    <w:rsid w:val="00A0290C"/>
    <w:rPr>
      <w:rFonts w:ascii="Arial" w:eastAsia="Verdana" w:hAnsi="Arial" w:cs="Arial"/>
      <w:bCs/>
      <w:i/>
      <w:sz w:val="28"/>
      <w:szCs w:val="26"/>
      <w:lang w:val="ru-RU" w:eastAsia="ru-RU" w:bidi="ar-SA"/>
    </w:rPr>
  </w:style>
  <w:style w:type="paragraph" w:customStyle="1" w:styleId="afe">
    <w:name w:val="Подсветка"/>
    <w:basedOn w:val="ac"/>
    <w:link w:val="Char2"/>
    <w:rsid w:val="00A0290C"/>
    <w:pPr>
      <w:spacing w:line="360" w:lineRule="auto"/>
      <w:jc w:val="left"/>
    </w:pPr>
    <w:rPr>
      <w:rFonts w:ascii="Arial" w:hAnsi="Arial"/>
      <w:b/>
      <w:bCs/>
    </w:rPr>
  </w:style>
  <w:style w:type="character" w:customStyle="1" w:styleId="Char2">
    <w:name w:val="Подсветка Char"/>
    <w:link w:val="afe"/>
    <w:rsid w:val="00A0290C"/>
    <w:rPr>
      <w:rFonts w:ascii="Arial" w:eastAsia="Verdana" w:hAnsi="Arial"/>
      <w:b/>
      <w:bCs/>
      <w:color w:val="000000"/>
      <w:sz w:val="24"/>
      <w:szCs w:val="24"/>
      <w:lang w:val="ru-RU" w:eastAsia="ru-RU" w:bidi="ar-SA"/>
    </w:rPr>
  </w:style>
  <w:style w:type="paragraph" w:customStyle="1" w:styleId="1">
    <w:name w:val="Список1"/>
    <w:basedOn w:val="ac"/>
    <w:autoRedefine/>
    <w:rsid w:val="00A0290C"/>
    <w:pPr>
      <w:numPr>
        <w:numId w:val="12"/>
      </w:numPr>
      <w:spacing w:line="360" w:lineRule="auto"/>
      <w:jc w:val="left"/>
    </w:pPr>
    <w:rPr>
      <w:rFonts w:ascii="Arial" w:hAnsi="Arial"/>
      <w:iCs/>
      <w:sz w:val="20"/>
      <w:szCs w:val="20"/>
    </w:rPr>
  </w:style>
  <w:style w:type="paragraph" w:customStyle="1" w:styleId="aff">
    <w:name w:val="Пояснения"/>
    <w:basedOn w:val="ac"/>
    <w:link w:val="Char3"/>
    <w:autoRedefine/>
    <w:rsid w:val="00A0290C"/>
    <w:pPr>
      <w:spacing w:before="120" w:beforeAutospacing="0" w:after="120" w:afterAutospacing="0" w:line="360" w:lineRule="auto"/>
      <w:jc w:val="left"/>
    </w:pPr>
    <w:rPr>
      <w:rFonts w:ascii="Arial" w:hAnsi="Arial"/>
    </w:rPr>
  </w:style>
  <w:style w:type="character" w:customStyle="1" w:styleId="Char3">
    <w:name w:val="Пояснения Char"/>
    <w:link w:val="aff"/>
    <w:rsid w:val="00A0290C"/>
    <w:rPr>
      <w:rFonts w:ascii="Arial" w:eastAsia="Verdana" w:hAnsi="Arial"/>
      <w:color w:val="000000"/>
      <w:sz w:val="24"/>
      <w:szCs w:val="24"/>
      <w:lang w:val="ru-RU" w:eastAsia="ru-RU" w:bidi="ar-SA"/>
    </w:rPr>
  </w:style>
  <w:style w:type="paragraph" w:customStyle="1" w:styleId="aff0">
    <w:name w:val="Похожие сообщения источник и дата"/>
    <w:basedOn w:val="14"/>
    <w:link w:val="Char4"/>
    <w:autoRedefine/>
    <w:rsid w:val="00A0290C"/>
  </w:style>
  <w:style w:type="paragraph" w:customStyle="1" w:styleId="14">
    <w:name w:val="Похожие сообщения источник и дата1"/>
    <w:basedOn w:val="ae"/>
    <w:link w:val="1CharChar"/>
    <w:autoRedefine/>
    <w:rsid w:val="00A0290C"/>
    <w:pPr>
      <w:jc w:val="left"/>
    </w:pPr>
    <w:rPr>
      <w:sz w:val="16"/>
    </w:rPr>
  </w:style>
  <w:style w:type="character" w:customStyle="1" w:styleId="1CharChar">
    <w:name w:val="Похожие сообщения источник и дата1 Char Char"/>
    <w:link w:val="14"/>
    <w:rsid w:val="00A0290C"/>
    <w:rPr>
      <w:rFonts w:ascii="Arial" w:eastAsia="Verdana" w:hAnsi="Arial"/>
      <w:b/>
      <w:bCs/>
      <w:color w:val="808080"/>
      <w:sz w:val="16"/>
    </w:rPr>
  </w:style>
  <w:style w:type="character" w:customStyle="1" w:styleId="Char4">
    <w:name w:val="Похожие сообщения источник и дата Char"/>
    <w:link w:val="aff0"/>
    <w:rsid w:val="00A0290C"/>
    <w:rPr>
      <w:rFonts w:ascii="Arial" w:eastAsia="Verdana" w:hAnsi="Arial"/>
      <w:b/>
      <w:bCs/>
      <w:color w:val="808080"/>
      <w:sz w:val="16"/>
    </w:rPr>
  </w:style>
  <w:style w:type="character" w:customStyle="1" w:styleId="aff1">
    <w:name w:val="Текст выноски Знак"/>
    <w:link w:val="aff2"/>
    <w:rsid w:val="00A0290C"/>
    <w:rPr>
      <w:rFonts w:ascii="Tahoma" w:hAnsi="Tahoma" w:cs="Tahoma"/>
      <w:sz w:val="16"/>
      <w:szCs w:val="16"/>
    </w:rPr>
  </w:style>
  <w:style w:type="paragraph" w:styleId="aff2">
    <w:name w:val="Balloon Text"/>
    <w:basedOn w:val="a"/>
    <w:link w:val="aff1"/>
    <w:rsid w:val="00A0290C"/>
    <w:pPr>
      <w:spacing w:after="0" w:line="360" w:lineRule="auto"/>
      <w:ind w:left="1440"/>
      <w:jc w:val="left"/>
    </w:pPr>
    <w:rPr>
      <w:rFonts w:ascii="Tahoma" w:hAnsi="Tahoma"/>
      <w:sz w:val="16"/>
      <w:szCs w:val="16"/>
    </w:rPr>
  </w:style>
  <w:style w:type="paragraph" w:customStyle="1" w:styleId="aff3">
    <w:name w:val="Содержание"/>
    <w:autoRedefine/>
    <w:rsid w:val="00A0290C"/>
    <w:pPr>
      <w:keepNext/>
      <w:keepLines/>
      <w:pageBreakBefore/>
      <w:spacing w:after="480"/>
    </w:pPr>
    <w:rPr>
      <w:rFonts w:ascii="Arial" w:eastAsia="Verdana" w:hAnsi="Arial" w:cs="Arial"/>
      <w:bCs/>
      <w:color w:val="333333"/>
      <w:kern w:val="32"/>
      <w:sz w:val="40"/>
      <w:szCs w:val="32"/>
    </w:rPr>
  </w:style>
  <w:style w:type="paragraph" w:customStyle="1" w:styleId="-">
    <w:name w:val="Текст документа - Выделенный"/>
    <w:basedOn w:val="ac"/>
    <w:link w:val="-Char"/>
    <w:rsid w:val="00A0290C"/>
    <w:pPr>
      <w:spacing w:line="360" w:lineRule="auto"/>
      <w:jc w:val="left"/>
    </w:pPr>
    <w:rPr>
      <w:rFonts w:ascii="Arial" w:hAnsi="Arial"/>
      <w:b/>
      <w:bCs/>
    </w:rPr>
  </w:style>
  <w:style w:type="character" w:customStyle="1" w:styleId="-Char">
    <w:name w:val="Текст документа - Выделенный Char"/>
    <w:link w:val="-"/>
    <w:rsid w:val="00A0290C"/>
    <w:rPr>
      <w:rFonts w:ascii="Arial" w:eastAsia="Verdana" w:hAnsi="Arial"/>
      <w:b/>
      <w:bCs/>
      <w:color w:val="000000"/>
      <w:sz w:val="24"/>
      <w:szCs w:val="24"/>
      <w:lang w:val="ru-RU" w:eastAsia="ru-RU" w:bidi="ar-SA"/>
    </w:rPr>
  </w:style>
  <w:style w:type="paragraph" w:styleId="aff4">
    <w:name w:val="Subtitle"/>
    <w:basedOn w:val="a"/>
    <w:next w:val="a"/>
    <w:link w:val="aff5"/>
    <w:qFormat/>
    <w:rsid w:val="00A0290C"/>
    <w:pPr>
      <w:spacing w:after="60"/>
      <w:jc w:val="center"/>
      <w:outlineLvl w:val="1"/>
    </w:pPr>
    <w:rPr>
      <w:rFonts w:ascii="Cambria" w:hAnsi="Cambria"/>
    </w:rPr>
  </w:style>
  <w:style w:type="character" w:customStyle="1" w:styleId="aff5">
    <w:name w:val="Подзаголовок Знак"/>
    <w:link w:val="aff4"/>
    <w:rsid w:val="00A0290C"/>
    <w:rPr>
      <w:rFonts w:ascii="Cambria" w:hAnsi="Cambria"/>
      <w:sz w:val="24"/>
      <w:szCs w:val="24"/>
    </w:rPr>
  </w:style>
  <w:style w:type="paragraph" w:customStyle="1" w:styleId="251">
    <w:name w:val="Стиль Заголовок раздела + Узор: Нет (Серый 25%)1"/>
    <w:basedOn w:val="af6"/>
    <w:next w:val="a"/>
    <w:rsid w:val="009D66A1"/>
    <w:pPr>
      <w:pageBreakBefore/>
    </w:pPr>
    <w:rPr>
      <w:shd w:val="clear" w:color="auto" w:fill="C0C0C0"/>
    </w:rPr>
  </w:style>
  <w:style w:type="paragraph" w:styleId="6">
    <w:name w:val="toc 6"/>
    <w:basedOn w:val="a"/>
    <w:next w:val="a"/>
    <w:autoRedefine/>
    <w:uiPriority w:val="39"/>
    <w:unhideWhenUsed/>
    <w:rsid w:val="0010169E"/>
    <w:pPr>
      <w:spacing w:after="100" w:line="259" w:lineRule="auto"/>
      <w:ind w:left="1100"/>
      <w:jc w:val="left"/>
    </w:pPr>
    <w:rPr>
      <w:rFonts w:ascii="Calibri" w:hAnsi="Calibri"/>
      <w:sz w:val="22"/>
      <w:szCs w:val="22"/>
    </w:rPr>
  </w:style>
  <w:style w:type="paragraph" w:styleId="70">
    <w:name w:val="toc 7"/>
    <w:basedOn w:val="a"/>
    <w:next w:val="a"/>
    <w:autoRedefine/>
    <w:uiPriority w:val="39"/>
    <w:unhideWhenUsed/>
    <w:rsid w:val="0010169E"/>
    <w:pPr>
      <w:spacing w:after="100" w:line="259" w:lineRule="auto"/>
      <w:ind w:left="1320"/>
      <w:jc w:val="left"/>
    </w:pPr>
    <w:rPr>
      <w:rFonts w:ascii="Calibri" w:hAnsi="Calibri"/>
      <w:sz w:val="22"/>
      <w:szCs w:val="22"/>
    </w:rPr>
  </w:style>
  <w:style w:type="paragraph" w:styleId="8">
    <w:name w:val="toc 8"/>
    <w:basedOn w:val="a"/>
    <w:next w:val="a"/>
    <w:autoRedefine/>
    <w:uiPriority w:val="39"/>
    <w:unhideWhenUsed/>
    <w:rsid w:val="0010169E"/>
    <w:pPr>
      <w:spacing w:after="100" w:line="259" w:lineRule="auto"/>
      <w:ind w:left="1540"/>
      <w:jc w:val="left"/>
    </w:pPr>
    <w:rPr>
      <w:rFonts w:ascii="Calibri" w:hAnsi="Calibri"/>
      <w:sz w:val="22"/>
      <w:szCs w:val="22"/>
    </w:rPr>
  </w:style>
  <w:style w:type="paragraph" w:styleId="9">
    <w:name w:val="toc 9"/>
    <w:basedOn w:val="a"/>
    <w:next w:val="a"/>
    <w:autoRedefine/>
    <w:uiPriority w:val="39"/>
    <w:unhideWhenUsed/>
    <w:rsid w:val="0010169E"/>
    <w:pPr>
      <w:spacing w:after="100" w:line="259" w:lineRule="auto"/>
      <w:ind w:left="1760"/>
      <w:jc w:val="left"/>
    </w:pPr>
    <w:rPr>
      <w:rFonts w:ascii="Calibri" w:hAnsi="Calibri"/>
      <w:sz w:val="22"/>
      <w:szCs w:val="22"/>
    </w:rPr>
  </w:style>
  <w:style w:type="paragraph" w:customStyle="1" w:styleId="doubtitle">
    <w:name w:val="doubtitle"/>
    <w:basedOn w:val="a"/>
    <w:rsid w:val="00E1422B"/>
    <w:pPr>
      <w:spacing w:before="105" w:after="105"/>
      <w:jc w:val="left"/>
    </w:pPr>
    <w:rPr>
      <w:rFonts w:ascii="Arial" w:hAnsi="Arial" w:cs="Arial"/>
      <w:color w:val="999999"/>
      <w:sz w:val="21"/>
      <w:szCs w:val="21"/>
    </w:rPr>
  </w:style>
  <w:style w:type="paragraph" w:customStyle="1" w:styleId="doubcontent">
    <w:name w:val="doubcontent"/>
    <w:basedOn w:val="a"/>
    <w:rsid w:val="0009547A"/>
    <w:pPr>
      <w:spacing w:before="150" w:after="150"/>
      <w:jc w:val="left"/>
    </w:pPr>
    <w:rPr>
      <w:rFonts w:ascii="Arial" w:hAnsi="Arial" w:cs="Arial"/>
      <w:color w:val="000000"/>
      <w:sz w:val="15"/>
      <w:szCs w:val="15"/>
    </w:rPr>
  </w:style>
  <w:style w:type="character" w:customStyle="1" w:styleId="doubsourcename">
    <w:name w:val="doubsourcename"/>
    <w:basedOn w:val="a0"/>
    <w:rsid w:val="0009547A"/>
  </w:style>
  <w:style w:type="character" w:customStyle="1" w:styleId="doubdocumentdate">
    <w:name w:val="doubdocumentdate"/>
    <w:basedOn w:val="a0"/>
    <w:rsid w:val="0009547A"/>
  </w:style>
  <w:style w:type="character" w:customStyle="1" w:styleId="doubheader1">
    <w:name w:val="doubheader1"/>
    <w:rsid w:val="0009547A"/>
    <w:rPr>
      <w:b/>
      <w:bCs/>
      <w:sz w:val="17"/>
      <w:szCs w:val="17"/>
    </w:rPr>
  </w:style>
  <w:style w:type="character" w:styleId="aff6">
    <w:name w:val="FollowedHyperlink"/>
    <w:rsid w:val="001B6274"/>
    <w:rPr>
      <w:color w:val="800080"/>
      <w:u w:val="single"/>
    </w:rPr>
  </w:style>
  <w:style w:type="character" w:customStyle="1" w:styleId="apple-converted-space">
    <w:name w:val="apple-converted-space"/>
    <w:rsid w:val="00511617"/>
  </w:style>
  <w:style w:type="character" w:styleId="aff7">
    <w:name w:val="Unresolved Mention"/>
    <w:uiPriority w:val="99"/>
    <w:semiHidden/>
    <w:unhideWhenUsed/>
    <w:rsid w:val="000B1BAB"/>
    <w:rPr>
      <w:color w:val="605E5C"/>
      <w:shd w:val="clear" w:color="auto" w:fill="E1DFDD"/>
    </w:rPr>
  </w:style>
  <w:style w:type="paragraph" w:customStyle="1" w:styleId="DocumentBody">
    <w:name w:val="DocumentBody"/>
    <w:basedOn w:val="a"/>
    <w:link w:val="DocumentBody0"/>
    <w:qFormat/>
    <w:rsid w:val="00593D6A"/>
    <w:pPr>
      <w:ind w:firstLine="567"/>
    </w:pPr>
    <w:rPr>
      <w:rFonts w:ascii="Arial" w:eastAsia="Calibri" w:hAnsi="Arial"/>
      <w:sz w:val="18"/>
      <w:szCs w:val="20"/>
      <w:lang w:eastAsia="en-US"/>
    </w:rPr>
  </w:style>
  <w:style w:type="character" w:customStyle="1" w:styleId="DocumentBody0">
    <w:name w:val="DocumentBody Знак"/>
    <w:link w:val="DocumentBody"/>
    <w:rsid w:val="00593D6A"/>
    <w:rPr>
      <w:rFonts w:ascii="Arial" w:eastAsia="Calibri" w:hAnsi="Arial"/>
      <w:sz w:val="18"/>
      <w:lang w:eastAsia="en-US"/>
    </w:rPr>
  </w:style>
  <w:style w:type="paragraph" w:customStyle="1" w:styleId="DocumentAuthor">
    <w:name w:val="DocumentAuthor"/>
    <w:basedOn w:val="a"/>
    <w:next w:val="a"/>
    <w:link w:val="DocumentAuthorChar"/>
    <w:qFormat/>
    <w:rsid w:val="00593D6A"/>
    <w:pPr>
      <w:spacing w:before="120" w:line="360" w:lineRule="auto"/>
      <w:jc w:val="left"/>
    </w:pPr>
    <w:rPr>
      <w:rFonts w:ascii="Arial" w:eastAsia="Calibri" w:hAnsi="Arial"/>
      <w:sz w:val="16"/>
      <w:szCs w:val="20"/>
      <w:lang w:eastAsia="en-US"/>
    </w:rPr>
  </w:style>
  <w:style w:type="character" w:customStyle="1" w:styleId="DocumentAuthorChar">
    <w:name w:val="DocumentAuthor Char"/>
    <w:link w:val="DocumentAuthor"/>
    <w:rsid w:val="00593D6A"/>
    <w:rPr>
      <w:rFonts w:ascii="Arial" w:eastAsia="Calibri" w:hAnsi="Arial"/>
      <w:sz w:val="16"/>
      <w:lang w:eastAsia="en-US"/>
    </w:rPr>
  </w:style>
  <w:style w:type="character" w:customStyle="1" w:styleId="NavigationLink">
    <w:name w:val="Navigation_Link"/>
    <w:uiPriority w:val="1"/>
    <w:qFormat/>
    <w:rsid w:val="00593D6A"/>
    <w:rPr>
      <w:rFonts w:ascii="Arial" w:hAnsi="Arial"/>
      <w:color w:val="0000FF"/>
      <w:sz w:val="18"/>
      <w:u w:val="single"/>
    </w:rPr>
  </w:style>
  <w:style w:type="character" w:customStyle="1" w:styleId="DocumentDate">
    <w:name w:val="Document_Date"/>
    <w:uiPriority w:val="1"/>
    <w:qFormat/>
    <w:rsid w:val="00593D6A"/>
    <w:rPr>
      <w:rFonts w:ascii="Arial" w:hAnsi="Arial"/>
      <w:b w:val="0"/>
      <w:sz w:val="16"/>
    </w:rPr>
  </w:style>
  <w:style w:type="character" w:customStyle="1" w:styleId="DocumentSource">
    <w:name w:val="Document_Source"/>
    <w:uiPriority w:val="1"/>
    <w:qFormat/>
    <w:rsid w:val="00593D6A"/>
    <w:rPr>
      <w:rFonts w:ascii="Arial" w:hAnsi="Arial"/>
      <w:b w:val="0"/>
      <w:sz w:val="16"/>
    </w:rPr>
  </w:style>
  <w:style w:type="character" w:customStyle="1" w:styleId="DocumentName">
    <w:name w:val="Document_Name"/>
    <w:uiPriority w:val="1"/>
    <w:qFormat/>
    <w:rsid w:val="00593D6A"/>
    <w:rPr>
      <w:rFonts w:ascii="Arial" w:hAnsi="Arial"/>
      <w:b w:val="0"/>
      <w:sz w:val="24"/>
    </w:rPr>
  </w:style>
  <w:style w:type="paragraph" w:customStyle="1" w:styleId="doctext">
    <w:name w:val="doc__text"/>
    <w:basedOn w:val="a"/>
    <w:rsid w:val="00E10B1E"/>
    <w:pPr>
      <w:spacing w:before="100" w:beforeAutospacing="1" w:after="100" w:afterAutospacing="1"/>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1067309">
      <w:bodyDiv w:val="1"/>
      <w:marLeft w:val="0"/>
      <w:marRight w:val="0"/>
      <w:marTop w:val="0"/>
      <w:marBottom w:val="0"/>
      <w:divBdr>
        <w:top w:val="none" w:sz="0" w:space="0" w:color="auto"/>
        <w:left w:val="none" w:sz="0" w:space="0" w:color="auto"/>
        <w:bottom w:val="none" w:sz="0" w:space="0" w:color="auto"/>
        <w:right w:val="none" w:sz="0" w:space="0" w:color="auto"/>
      </w:divBdr>
    </w:div>
    <w:div w:id="225646830">
      <w:bodyDiv w:val="1"/>
      <w:marLeft w:val="0"/>
      <w:marRight w:val="0"/>
      <w:marTop w:val="0"/>
      <w:marBottom w:val="0"/>
      <w:divBdr>
        <w:top w:val="none" w:sz="0" w:space="0" w:color="auto"/>
        <w:left w:val="none" w:sz="0" w:space="0" w:color="auto"/>
        <w:bottom w:val="none" w:sz="0" w:space="0" w:color="auto"/>
        <w:right w:val="none" w:sz="0" w:space="0" w:color="auto"/>
      </w:divBdr>
    </w:div>
    <w:div w:id="318195524">
      <w:bodyDiv w:val="1"/>
      <w:marLeft w:val="0"/>
      <w:marRight w:val="0"/>
      <w:marTop w:val="0"/>
      <w:marBottom w:val="0"/>
      <w:divBdr>
        <w:top w:val="none" w:sz="0" w:space="0" w:color="auto"/>
        <w:left w:val="none" w:sz="0" w:space="0" w:color="auto"/>
        <w:bottom w:val="none" w:sz="0" w:space="0" w:color="auto"/>
        <w:right w:val="none" w:sz="0" w:space="0" w:color="auto"/>
      </w:divBdr>
    </w:div>
    <w:div w:id="391468306">
      <w:bodyDiv w:val="1"/>
      <w:marLeft w:val="0"/>
      <w:marRight w:val="0"/>
      <w:marTop w:val="0"/>
      <w:marBottom w:val="0"/>
      <w:divBdr>
        <w:top w:val="none" w:sz="0" w:space="0" w:color="auto"/>
        <w:left w:val="none" w:sz="0" w:space="0" w:color="auto"/>
        <w:bottom w:val="none" w:sz="0" w:space="0" w:color="auto"/>
        <w:right w:val="none" w:sz="0" w:space="0" w:color="auto"/>
      </w:divBdr>
    </w:div>
    <w:div w:id="645595294">
      <w:bodyDiv w:val="1"/>
      <w:marLeft w:val="0"/>
      <w:marRight w:val="0"/>
      <w:marTop w:val="0"/>
      <w:marBottom w:val="0"/>
      <w:divBdr>
        <w:top w:val="none" w:sz="0" w:space="0" w:color="auto"/>
        <w:left w:val="none" w:sz="0" w:space="0" w:color="auto"/>
        <w:bottom w:val="none" w:sz="0" w:space="0" w:color="auto"/>
        <w:right w:val="none" w:sz="0" w:space="0" w:color="auto"/>
      </w:divBdr>
    </w:div>
    <w:div w:id="756287836">
      <w:bodyDiv w:val="1"/>
      <w:marLeft w:val="0"/>
      <w:marRight w:val="0"/>
      <w:marTop w:val="0"/>
      <w:marBottom w:val="0"/>
      <w:divBdr>
        <w:top w:val="none" w:sz="0" w:space="0" w:color="auto"/>
        <w:left w:val="none" w:sz="0" w:space="0" w:color="auto"/>
        <w:bottom w:val="none" w:sz="0" w:space="0" w:color="auto"/>
        <w:right w:val="none" w:sz="0" w:space="0" w:color="auto"/>
      </w:divBdr>
    </w:div>
    <w:div w:id="924454782">
      <w:bodyDiv w:val="1"/>
      <w:marLeft w:val="0"/>
      <w:marRight w:val="0"/>
      <w:marTop w:val="0"/>
      <w:marBottom w:val="0"/>
      <w:divBdr>
        <w:top w:val="none" w:sz="0" w:space="0" w:color="auto"/>
        <w:left w:val="none" w:sz="0" w:space="0" w:color="auto"/>
        <w:bottom w:val="none" w:sz="0" w:space="0" w:color="auto"/>
        <w:right w:val="none" w:sz="0" w:space="0" w:color="auto"/>
      </w:divBdr>
    </w:div>
    <w:div w:id="936014995">
      <w:bodyDiv w:val="1"/>
      <w:marLeft w:val="0"/>
      <w:marRight w:val="0"/>
      <w:marTop w:val="0"/>
      <w:marBottom w:val="0"/>
      <w:divBdr>
        <w:top w:val="none" w:sz="0" w:space="0" w:color="auto"/>
        <w:left w:val="none" w:sz="0" w:space="0" w:color="auto"/>
        <w:bottom w:val="none" w:sz="0" w:space="0" w:color="auto"/>
        <w:right w:val="none" w:sz="0" w:space="0" w:color="auto"/>
      </w:divBdr>
    </w:div>
    <w:div w:id="978070040">
      <w:bodyDiv w:val="1"/>
      <w:marLeft w:val="0"/>
      <w:marRight w:val="0"/>
      <w:marTop w:val="0"/>
      <w:marBottom w:val="0"/>
      <w:divBdr>
        <w:top w:val="none" w:sz="0" w:space="0" w:color="auto"/>
        <w:left w:val="none" w:sz="0" w:space="0" w:color="auto"/>
        <w:bottom w:val="none" w:sz="0" w:space="0" w:color="auto"/>
        <w:right w:val="none" w:sz="0" w:space="0" w:color="auto"/>
      </w:divBdr>
    </w:div>
    <w:div w:id="1080060222">
      <w:bodyDiv w:val="1"/>
      <w:marLeft w:val="0"/>
      <w:marRight w:val="0"/>
      <w:marTop w:val="0"/>
      <w:marBottom w:val="0"/>
      <w:divBdr>
        <w:top w:val="none" w:sz="0" w:space="0" w:color="auto"/>
        <w:left w:val="none" w:sz="0" w:space="0" w:color="auto"/>
        <w:bottom w:val="none" w:sz="0" w:space="0" w:color="auto"/>
        <w:right w:val="none" w:sz="0" w:space="0" w:color="auto"/>
      </w:divBdr>
    </w:div>
    <w:div w:id="1332179974">
      <w:bodyDiv w:val="1"/>
      <w:marLeft w:val="0"/>
      <w:marRight w:val="0"/>
      <w:marTop w:val="0"/>
      <w:marBottom w:val="0"/>
      <w:divBdr>
        <w:top w:val="none" w:sz="0" w:space="0" w:color="auto"/>
        <w:left w:val="none" w:sz="0" w:space="0" w:color="auto"/>
        <w:bottom w:val="none" w:sz="0" w:space="0" w:color="auto"/>
        <w:right w:val="none" w:sz="0" w:space="0" w:color="auto"/>
      </w:divBdr>
      <w:divsChild>
        <w:div w:id="1560819938">
          <w:marLeft w:val="0"/>
          <w:marRight w:val="0"/>
          <w:marTop w:val="0"/>
          <w:marBottom w:val="300"/>
          <w:divBdr>
            <w:top w:val="none" w:sz="0" w:space="0" w:color="auto"/>
            <w:left w:val="none" w:sz="0" w:space="0" w:color="auto"/>
            <w:bottom w:val="none" w:sz="0" w:space="0" w:color="auto"/>
            <w:right w:val="none" w:sz="0" w:space="0" w:color="auto"/>
          </w:divBdr>
        </w:div>
      </w:divsChild>
    </w:div>
    <w:div w:id="1444769147">
      <w:bodyDiv w:val="1"/>
      <w:marLeft w:val="0"/>
      <w:marRight w:val="0"/>
      <w:marTop w:val="0"/>
      <w:marBottom w:val="0"/>
      <w:divBdr>
        <w:top w:val="none" w:sz="0" w:space="0" w:color="auto"/>
        <w:left w:val="none" w:sz="0" w:space="0" w:color="auto"/>
        <w:bottom w:val="none" w:sz="0" w:space="0" w:color="auto"/>
        <w:right w:val="none" w:sz="0" w:space="0" w:color="auto"/>
      </w:divBdr>
    </w:div>
    <w:div w:id="1489787208">
      <w:bodyDiv w:val="1"/>
      <w:marLeft w:val="0"/>
      <w:marRight w:val="0"/>
      <w:marTop w:val="0"/>
      <w:marBottom w:val="0"/>
      <w:divBdr>
        <w:top w:val="none" w:sz="0" w:space="0" w:color="auto"/>
        <w:left w:val="none" w:sz="0" w:space="0" w:color="auto"/>
        <w:bottom w:val="none" w:sz="0" w:space="0" w:color="auto"/>
        <w:right w:val="none" w:sz="0" w:space="0" w:color="auto"/>
      </w:divBdr>
    </w:div>
    <w:div w:id="1633057309">
      <w:bodyDiv w:val="1"/>
      <w:marLeft w:val="0"/>
      <w:marRight w:val="0"/>
      <w:marTop w:val="0"/>
      <w:marBottom w:val="0"/>
      <w:divBdr>
        <w:top w:val="none" w:sz="0" w:space="0" w:color="auto"/>
        <w:left w:val="none" w:sz="0" w:space="0" w:color="auto"/>
        <w:bottom w:val="none" w:sz="0" w:space="0" w:color="auto"/>
        <w:right w:val="none" w:sz="0" w:space="0" w:color="auto"/>
      </w:divBdr>
    </w:div>
    <w:div w:id="1653214556">
      <w:bodyDiv w:val="1"/>
      <w:marLeft w:val="0"/>
      <w:marRight w:val="0"/>
      <w:marTop w:val="0"/>
      <w:marBottom w:val="0"/>
      <w:divBdr>
        <w:top w:val="none" w:sz="0" w:space="0" w:color="auto"/>
        <w:left w:val="none" w:sz="0" w:space="0" w:color="auto"/>
        <w:bottom w:val="none" w:sz="0" w:space="0" w:color="auto"/>
        <w:right w:val="none" w:sz="0" w:space="0" w:color="auto"/>
      </w:divBdr>
    </w:div>
    <w:div w:id="1785298663">
      <w:bodyDiv w:val="1"/>
      <w:marLeft w:val="0"/>
      <w:marRight w:val="0"/>
      <w:marTop w:val="0"/>
      <w:marBottom w:val="0"/>
      <w:divBdr>
        <w:top w:val="none" w:sz="0" w:space="0" w:color="auto"/>
        <w:left w:val="none" w:sz="0" w:space="0" w:color="auto"/>
        <w:bottom w:val="none" w:sz="0" w:space="0" w:color="auto"/>
        <w:right w:val="none" w:sz="0" w:space="0" w:color="auto"/>
      </w:divBdr>
    </w:div>
    <w:div w:id="1822577815">
      <w:bodyDiv w:val="1"/>
      <w:marLeft w:val="0"/>
      <w:marRight w:val="0"/>
      <w:marTop w:val="0"/>
      <w:marBottom w:val="0"/>
      <w:divBdr>
        <w:top w:val="none" w:sz="0" w:space="0" w:color="auto"/>
        <w:left w:val="none" w:sz="0" w:space="0" w:color="auto"/>
        <w:bottom w:val="none" w:sz="0" w:space="0" w:color="auto"/>
        <w:right w:val="none" w:sz="0" w:space="0" w:color="auto"/>
      </w:divBdr>
    </w:div>
    <w:div w:id="1908102717">
      <w:bodyDiv w:val="1"/>
      <w:marLeft w:val="0"/>
      <w:marRight w:val="0"/>
      <w:marTop w:val="0"/>
      <w:marBottom w:val="0"/>
      <w:divBdr>
        <w:top w:val="none" w:sz="0" w:space="0" w:color="auto"/>
        <w:left w:val="none" w:sz="0" w:space="0" w:color="auto"/>
        <w:bottom w:val="none" w:sz="0" w:space="0" w:color="auto"/>
        <w:right w:val="none" w:sz="0" w:space="0" w:color="auto"/>
      </w:divBdr>
      <w:divsChild>
        <w:div w:id="1385527264">
          <w:marLeft w:val="0"/>
          <w:marRight w:val="0"/>
          <w:marTop w:val="0"/>
          <w:marBottom w:val="0"/>
          <w:divBdr>
            <w:top w:val="none" w:sz="0" w:space="0" w:color="auto"/>
            <w:left w:val="none" w:sz="0" w:space="0" w:color="auto"/>
            <w:bottom w:val="none" w:sz="0" w:space="0" w:color="auto"/>
            <w:right w:val="none" w:sz="0" w:space="0" w:color="auto"/>
          </w:divBdr>
        </w:div>
      </w:divsChild>
    </w:div>
    <w:div w:id="2006086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bankdelo.ru/fingram/news/pub/12470" TargetMode="External"/><Relationship Id="rId18" Type="http://schemas.openxmlformats.org/officeDocument/2006/relationships/hyperlink" Target="https://rk.karelia.ru/social/zhitelyam-karelii-obyasnili-kak-delat-dolgosrochnye-sberezheniya-po-novomu-zakonu/" TargetMode="External"/><Relationship Id="rId26" Type="http://schemas.openxmlformats.org/officeDocument/2006/relationships/hyperlink" Target="https://www.garant.ru/news/1816753/" TargetMode="External"/><Relationship Id="rId39" Type="http://schemas.openxmlformats.org/officeDocument/2006/relationships/hyperlink" Target="https://aif.ru/money/mymoney/uzhe-v-avguste-ozvucheno-naskolko-vyrastut-pensii-rabotayushchih-pensionerov" TargetMode="External"/><Relationship Id="rId3" Type="http://schemas.openxmlformats.org/officeDocument/2006/relationships/settings" Target="settings.xml"/><Relationship Id="rId21" Type="http://schemas.openxmlformats.org/officeDocument/2006/relationships/hyperlink" Target="https://rg.ru/2025/05/19/v-gosdume-predlozhili-ne-uchityvat-chislo-izhdivencev-dlia-povysheniia-pensii.html" TargetMode="External"/><Relationship Id="rId34" Type="http://schemas.openxmlformats.org/officeDocument/2006/relationships/hyperlink" Target="https://www.globalmsk.ru/news/id/74564" TargetMode="External"/><Relationship Id="rId42" Type="http://schemas.openxmlformats.org/officeDocument/2006/relationships/hyperlink" Target="https://tass.ru/ekonomika/23964135" TargetMode="External"/><Relationship Id="rId47" Type="http://schemas.openxmlformats.org/officeDocument/2006/relationships/header" Target="header1.xml"/><Relationship Id="rId50"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s://rg.ru/2025/05/18/ekspert-beliakov-obiasnil-kak-znachitelno-uvelichit-dohod-na-pensii.html" TargetMode="External"/><Relationship Id="rId17" Type="http://schemas.openxmlformats.org/officeDocument/2006/relationships/hyperlink" Target="https://bryansku.ru/2025/05/19/sredi-bryantsev-nabiraet-populyarnost-programma-dolgosrochnyh-sberezheniy" TargetMode="External"/><Relationship Id="rId25" Type="http://schemas.openxmlformats.org/officeDocument/2006/relationships/hyperlink" Target="https://lenta.ru/news/2025/05/19/srok-povysheniya-pensiy/" TargetMode="External"/><Relationship Id="rId33" Type="http://schemas.openxmlformats.org/officeDocument/2006/relationships/hyperlink" Target="https://primpress.ru/article/123065" TargetMode="External"/><Relationship Id="rId38" Type="http://schemas.openxmlformats.org/officeDocument/2006/relationships/hyperlink" Target="https://pensiya.pro/news/pensionnyj-vozrast-mogut-povysit-do-80-let-vcziom/" TargetMode="External"/><Relationship Id="rId46" Type="http://schemas.openxmlformats.org/officeDocument/2006/relationships/hyperlink" Target="https://upl.uz/obshestvo/52022-news.html" TargetMode="External"/><Relationship Id="rId2" Type="http://schemas.openxmlformats.org/officeDocument/2006/relationships/styles" Target="styles.xml"/><Relationship Id="rId16" Type="http://schemas.openxmlformats.org/officeDocument/2006/relationships/hyperlink" Target="https://finance.mail.ru/2025-05-19/pravitelstvo-ne-planiruet-napravlyat-matkapital-na-programmu-dolgosrochnyh-sberezhenij-66187122/" TargetMode="External"/><Relationship Id="rId20" Type="http://schemas.openxmlformats.org/officeDocument/2006/relationships/hyperlink" Target="https://iz.ru/1887460/olga-anaseva/poiti-v-razryv-srednie-vyplaty-rabotaiushchim-pensioneram-vyrosli-na-150-rublei" TargetMode="External"/><Relationship Id="rId29" Type="http://schemas.openxmlformats.org/officeDocument/2006/relationships/hyperlink" Target="https://konkurent.ru/article/77404" TargetMode="External"/><Relationship Id="rId41" Type="http://schemas.openxmlformats.org/officeDocument/2006/relationships/hyperlink" Target="https://iz.ru/1887797/maksim-bazanov/v-gosdume-gotovyat-novye-lgoty-veteranam-svo"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rg.ru/2025/05/19/biznes-poluchit-lgoty-za-sofinansirovanie-pensionnyh-nakoplenij-sotrudnikov.html" TargetMode="External"/><Relationship Id="rId24" Type="http://schemas.openxmlformats.org/officeDocument/2006/relationships/hyperlink" Target="https://russian.rt.com/russia/news/1479892-pensiya-strahovaya-pensiya-pereraschyot?utm_source=rss&amp;utm_medium=rss&amp;utm_campaign=RSS" TargetMode="External"/><Relationship Id="rId32" Type="http://schemas.openxmlformats.org/officeDocument/2006/relationships/hyperlink" Target="https://www.ridus.ru/ekonomist-kulbaka-doplat-k-pensii-za-vseh-izhdivencev-ne-budet-hotya-dengi-est-626211.html" TargetMode="External"/><Relationship Id="rId37" Type="http://schemas.openxmlformats.org/officeDocument/2006/relationships/hyperlink" Target="https://deita.ru/article/569528" TargetMode="External"/><Relationship Id="rId40" Type="http://schemas.openxmlformats.org/officeDocument/2006/relationships/hyperlink" Target="https://www.vbr.ru/help/novosti/ne-tolko-sberbank-pensiu-polycat-v-lubom-banke-75147/" TargetMode="External"/><Relationship Id="rId45" Type="http://schemas.openxmlformats.org/officeDocument/2006/relationships/hyperlink" Target="https://inbusiness.kz/ru/news/enpf-pokazal-sekretnyj-raschet-kak-nakopit-50-mln-tenge-k-pensii" TargetMode="External"/><Relationship Id="rId5" Type="http://schemas.openxmlformats.org/officeDocument/2006/relationships/footnotes" Target="footnotes.xml"/><Relationship Id="rId15" Type="http://schemas.openxmlformats.org/officeDocument/2006/relationships/hyperlink" Target="https://www.glavbukh.ru/news/52104-nalogovye-lgoty-dlya-rabotodateley-podderjka-dolgosrochnyh-sberejeniy-6xx" TargetMode="External"/><Relationship Id="rId23" Type="http://schemas.openxmlformats.org/officeDocument/2006/relationships/hyperlink" Target="https://russian.rt.com/russia/news/1479963-deputat-chaplin-pensiya-razmer-smena-region?utm_source=rss&amp;utm_medium=rss&amp;utm_campaign=RSS" TargetMode="External"/><Relationship Id="rId28" Type="http://schemas.openxmlformats.org/officeDocument/2006/relationships/hyperlink" Target="https://www.gazeta.ru/business/news/2025/05/19/25802456.shtml" TargetMode="External"/><Relationship Id="rId36" Type="http://schemas.openxmlformats.org/officeDocument/2006/relationships/hyperlink" Target="https://pensiya.pro/kakoj-budet-pensiya-esli-vam-sejchas-30-50-let-podrobnyj-raschet/" TargetMode="External"/><Relationship Id="rId49" Type="http://schemas.openxmlformats.org/officeDocument/2006/relationships/fontTable" Target="fontTable.xml"/><Relationship Id="rId10" Type="http://schemas.openxmlformats.org/officeDocument/2006/relationships/hyperlink" Target="https://www.akm.ru/press/rossiyane_otvetili_izmenili_by_oni_chto_to_v_svoey_zhizni_esli_by_snova_stali_vypusknikami/" TargetMode="External"/><Relationship Id="rId19" Type="http://schemas.openxmlformats.org/officeDocument/2006/relationships/hyperlink" Target="https://regions.ru/odintsovo/vlast-obshestvo/v-odintsove-dali-start-semeynomu-festivalyu-finansovoy-gramotnosti" TargetMode="External"/><Relationship Id="rId31" Type="http://schemas.openxmlformats.org/officeDocument/2006/relationships/hyperlink" Target="https://www.osnmedia.ru/interesnoe/s-1-iyunya-2025-goda-nekotoryh-rossiyan-zhdet-povyshenie-pensij/" TargetMode="External"/><Relationship Id="rId44" Type="http://schemas.openxmlformats.org/officeDocument/2006/relationships/hyperlink" Target="https://www.zakon.kz/finansy/6477838-pensionnye-aktivy-kak-imi-upravlyayut-i-pochemu-ne-stoit-boyatsya-vremennykh-kolebaniy.html" TargetMode="External"/><Relationship Id="rId4" Type="http://schemas.openxmlformats.org/officeDocument/2006/relationships/webSettings" Target="webSettings.xml"/><Relationship Id="rId9" Type="http://schemas.openxmlformats.org/officeDocument/2006/relationships/hyperlink" Target="https://pensiya.pro/news/bank-rossii-vystupil-protiv-aktivnogo-vlozheniya-sredstv-npf-v-akczii/" TargetMode="External"/><Relationship Id="rId14" Type="http://schemas.openxmlformats.org/officeDocument/2006/relationships/hyperlink" Target="http://www.asn-news.ru/news/89556" TargetMode="External"/><Relationship Id="rId22" Type="http://schemas.openxmlformats.org/officeDocument/2006/relationships/hyperlink" Target="https://www.pnp.ru/social/v-gosdumu-vnesli-zakonoproekt-o-pribavke-k-pensii-za-vsekh-izhdivencev.html" TargetMode="External"/><Relationship Id="rId27" Type="http://schemas.openxmlformats.org/officeDocument/2006/relationships/hyperlink" Target="https://www.gazeta.ru/business/news/2025/05/19/25801724.shtml" TargetMode="External"/><Relationship Id="rId30" Type="http://schemas.openxmlformats.org/officeDocument/2006/relationships/hyperlink" Target="https://konkurent.ru/article/77414" TargetMode="External"/><Relationship Id="rId35" Type="http://schemas.openxmlformats.org/officeDocument/2006/relationships/hyperlink" Target="https://pensiya.pro/news/uchenye-nazvali-glavnyj-vyzov-dlya-budushhego-pensionnoj-sistemy-rossii/" TargetMode="External"/><Relationship Id="rId43" Type="http://schemas.openxmlformats.org/officeDocument/2006/relationships/hyperlink" Target="https://rostov.aif.ru/society/details/eksperty-nazvali-summy-kotorye-rossiyskie-pensionery-hranyat-na-vkladah" TargetMode="External"/><Relationship Id="rId48" Type="http://schemas.openxmlformats.org/officeDocument/2006/relationships/footer" Target="footer1.xml"/><Relationship Id="rId8" Type="http://schemas.openxmlformats.org/officeDocument/2006/relationships/hyperlink" Target="https://konkurent.ru/article/77399" TargetMode="External"/></Relationships>
</file>

<file path=word/_rels/header1.xml.rels><?xml version="1.0" encoding="UTF-8" standalone="yes"?>
<Relationships xmlns="http://schemas.openxmlformats.org/package/2006/relationships"><Relationship Id="rId2" Type="http://schemas.openxmlformats.org/officeDocument/2006/relationships/image" Target="cid:image001.jpg@01DAABA8.0A343520" TargetMode="External"/><Relationship Id="rId1"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35262</Words>
  <Characters>200996</Characters>
  <Application>Microsoft Office Word</Application>
  <DocSecurity>0</DocSecurity>
  <Lines>1674</Lines>
  <Paragraphs>471</Paragraphs>
  <ScaleCrop>false</ScaleCrop>
  <HeadingPairs>
    <vt:vector size="2" baseType="variant">
      <vt:variant>
        <vt:lpstr>Название</vt:lpstr>
      </vt:variant>
      <vt:variant>
        <vt:i4>1</vt:i4>
      </vt:variant>
    </vt:vector>
  </HeadingPairs>
  <TitlesOfParts>
    <vt:vector size="1" baseType="lpstr">
      <vt:lpstr>НАПФ</vt:lpstr>
    </vt:vector>
  </TitlesOfParts>
  <Company>SPecialiST RePack</Company>
  <LinksUpToDate>false</LinksUpToDate>
  <CharactersWithSpaces>235787</CharactersWithSpaces>
  <SharedDoc>false</SharedDoc>
  <HLinks>
    <vt:vector size="126" baseType="variant">
      <vt:variant>
        <vt:i4>1245241</vt:i4>
      </vt:variant>
      <vt:variant>
        <vt:i4>122</vt:i4>
      </vt:variant>
      <vt:variant>
        <vt:i4>0</vt:i4>
      </vt:variant>
      <vt:variant>
        <vt:i4>5</vt:i4>
      </vt:variant>
      <vt:variant>
        <vt:lpwstr/>
      </vt:variant>
      <vt:variant>
        <vt:lpwstr>_Toc417636952</vt:lpwstr>
      </vt:variant>
      <vt:variant>
        <vt:i4>1245241</vt:i4>
      </vt:variant>
      <vt:variant>
        <vt:i4>116</vt:i4>
      </vt:variant>
      <vt:variant>
        <vt:i4>0</vt:i4>
      </vt:variant>
      <vt:variant>
        <vt:i4>5</vt:i4>
      </vt:variant>
      <vt:variant>
        <vt:lpwstr/>
      </vt:variant>
      <vt:variant>
        <vt:lpwstr>_Toc417636951</vt:lpwstr>
      </vt:variant>
      <vt:variant>
        <vt:i4>1245241</vt:i4>
      </vt:variant>
      <vt:variant>
        <vt:i4>110</vt:i4>
      </vt:variant>
      <vt:variant>
        <vt:i4>0</vt:i4>
      </vt:variant>
      <vt:variant>
        <vt:i4>5</vt:i4>
      </vt:variant>
      <vt:variant>
        <vt:lpwstr/>
      </vt:variant>
      <vt:variant>
        <vt:lpwstr>_Toc417636950</vt:lpwstr>
      </vt:variant>
      <vt:variant>
        <vt:i4>1179705</vt:i4>
      </vt:variant>
      <vt:variant>
        <vt:i4>104</vt:i4>
      </vt:variant>
      <vt:variant>
        <vt:i4>0</vt:i4>
      </vt:variant>
      <vt:variant>
        <vt:i4>5</vt:i4>
      </vt:variant>
      <vt:variant>
        <vt:lpwstr/>
      </vt:variant>
      <vt:variant>
        <vt:lpwstr>_Toc417636949</vt:lpwstr>
      </vt:variant>
      <vt:variant>
        <vt:i4>1179705</vt:i4>
      </vt:variant>
      <vt:variant>
        <vt:i4>98</vt:i4>
      </vt:variant>
      <vt:variant>
        <vt:i4>0</vt:i4>
      </vt:variant>
      <vt:variant>
        <vt:i4>5</vt:i4>
      </vt:variant>
      <vt:variant>
        <vt:lpwstr/>
      </vt:variant>
      <vt:variant>
        <vt:lpwstr>_Toc417636948</vt:lpwstr>
      </vt:variant>
      <vt:variant>
        <vt:i4>1179705</vt:i4>
      </vt:variant>
      <vt:variant>
        <vt:i4>92</vt:i4>
      </vt:variant>
      <vt:variant>
        <vt:i4>0</vt:i4>
      </vt:variant>
      <vt:variant>
        <vt:i4>5</vt:i4>
      </vt:variant>
      <vt:variant>
        <vt:lpwstr/>
      </vt:variant>
      <vt:variant>
        <vt:lpwstr>_Toc417636947</vt:lpwstr>
      </vt:variant>
      <vt:variant>
        <vt:i4>1179705</vt:i4>
      </vt:variant>
      <vt:variant>
        <vt:i4>86</vt:i4>
      </vt:variant>
      <vt:variant>
        <vt:i4>0</vt:i4>
      </vt:variant>
      <vt:variant>
        <vt:i4>5</vt:i4>
      </vt:variant>
      <vt:variant>
        <vt:lpwstr/>
      </vt:variant>
      <vt:variant>
        <vt:lpwstr>_Toc417636946</vt:lpwstr>
      </vt:variant>
      <vt:variant>
        <vt:i4>1179705</vt:i4>
      </vt:variant>
      <vt:variant>
        <vt:i4>80</vt:i4>
      </vt:variant>
      <vt:variant>
        <vt:i4>0</vt:i4>
      </vt:variant>
      <vt:variant>
        <vt:i4>5</vt:i4>
      </vt:variant>
      <vt:variant>
        <vt:lpwstr/>
      </vt:variant>
      <vt:variant>
        <vt:lpwstr>_Toc417636945</vt:lpwstr>
      </vt:variant>
      <vt:variant>
        <vt:i4>1179705</vt:i4>
      </vt:variant>
      <vt:variant>
        <vt:i4>74</vt:i4>
      </vt:variant>
      <vt:variant>
        <vt:i4>0</vt:i4>
      </vt:variant>
      <vt:variant>
        <vt:i4>5</vt:i4>
      </vt:variant>
      <vt:variant>
        <vt:lpwstr/>
      </vt:variant>
      <vt:variant>
        <vt:lpwstr>_Toc417636944</vt:lpwstr>
      </vt:variant>
      <vt:variant>
        <vt:i4>1179705</vt:i4>
      </vt:variant>
      <vt:variant>
        <vt:i4>68</vt:i4>
      </vt:variant>
      <vt:variant>
        <vt:i4>0</vt:i4>
      </vt:variant>
      <vt:variant>
        <vt:i4>5</vt:i4>
      </vt:variant>
      <vt:variant>
        <vt:lpwstr/>
      </vt:variant>
      <vt:variant>
        <vt:lpwstr>_Toc417636943</vt:lpwstr>
      </vt:variant>
      <vt:variant>
        <vt:i4>1179705</vt:i4>
      </vt:variant>
      <vt:variant>
        <vt:i4>62</vt:i4>
      </vt:variant>
      <vt:variant>
        <vt:i4>0</vt:i4>
      </vt:variant>
      <vt:variant>
        <vt:i4>5</vt:i4>
      </vt:variant>
      <vt:variant>
        <vt:lpwstr/>
      </vt:variant>
      <vt:variant>
        <vt:lpwstr>_Toc417636942</vt:lpwstr>
      </vt:variant>
      <vt:variant>
        <vt:i4>1179705</vt:i4>
      </vt:variant>
      <vt:variant>
        <vt:i4>56</vt:i4>
      </vt:variant>
      <vt:variant>
        <vt:i4>0</vt:i4>
      </vt:variant>
      <vt:variant>
        <vt:i4>5</vt:i4>
      </vt:variant>
      <vt:variant>
        <vt:lpwstr/>
      </vt:variant>
      <vt:variant>
        <vt:lpwstr>_Toc417636941</vt:lpwstr>
      </vt:variant>
      <vt:variant>
        <vt:i4>1179705</vt:i4>
      </vt:variant>
      <vt:variant>
        <vt:i4>50</vt:i4>
      </vt:variant>
      <vt:variant>
        <vt:i4>0</vt:i4>
      </vt:variant>
      <vt:variant>
        <vt:i4>5</vt:i4>
      </vt:variant>
      <vt:variant>
        <vt:lpwstr/>
      </vt:variant>
      <vt:variant>
        <vt:lpwstr>_Toc417636940</vt:lpwstr>
      </vt:variant>
      <vt:variant>
        <vt:i4>1376313</vt:i4>
      </vt:variant>
      <vt:variant>
        <vt:i4>44</vt:i4>
      </vt:variant>
      <vt:variant>
        <vt:i4>0</vt:i4>
      </vt:variant>
      <vt:variant>
        <vt:i4>5</vt:i4>
      </vt:variant>
      <vt:variant>
        <vt:lpwstr/>
      </vt:variant>
      <vt:variant>
        <vt:lpwstr>_Toc417636939</vt:lpwstr>
      </vt:variant>
      <vt:variant>
        <vt:i4>1376313</vt:i4>
      </vt:variant>
      <vt:variant>
        <vt:i4>38</vt:i4>
      </vt:variant>
      <vt:variant>
        <vt:i4>0</vt:i4>
      </vt:variant>
      <vt:variant>
        <vt:i4>5</vt:i4>
      </vt:variant>
      <vt:variant>
        <vt:lpwstr/>
      </vt:variant>
      <vt:variant>
        <vt:lpwstr>_Toc417636938</vt:lpwstr>
      </vt:variant>
      <vt:variant>
        <vt:i4>1376313</vt:i4>
      </vt:variant>
      <vt:variant>
        <vt:i4>32</vt:i4>
      </vt:variant>
      <vt:variant>
        <vt:i4>0</vt:i4>
      </vt:variant>
      <vt:variant>
        <vt:i4>5</vt:i4>
      </vt:variant>
      <vt:variant>
        <vt:lpwstr/>
      </vt:variant>
      <vt:variant>
        <vt:lpwstr>_Toc417636937</vt:lpwstr>
      </vt:variant>
      <vt:variant>
        <vt:i4>1376313</vt:i4>
      </vt:variant>
      <vt:variant>
        <vt:i4>26</vt:i4>
      </vt:variant>
      <vt:variant>
        <vt:i4>0</vt:i4>
      </vt:variant>
      <vt:variant>
        <vt:i4>5</vt:i4>
      </vt:variant>
      <vt:variant>
        <vt:lpwstr/>
      </vt:variant>
      <vt:variant>
        <vt:lpwstr>_Toc417636936</vt:lpwstr>
      </vt:variant>
      <vt:variant>
        <vt:i4>1376313</vt:i4>
      </vt:variant>
      <vt:variant>
        <vt:i4>20</vt:i4>
      </vt:variant>
      <vt:variant>
        <vt:i4>0</vt:i4>
      </vt:variant>
      <vt:variant>
        <vt:i4>5</vt:i4>
      </vt:variant>
      <vt:variant>
        <vt:lpwstr/>
      </vt:variant>
      <vt:variant>
        <vt:lpwstr>_Toc417636935</vt:lpwstr>
      </vt:variant>
      <vt:variant>
        <vt:i4>1376313</vt:i4>
      </vt:variant>
      <vt:variant>
        <vt:i4>14</vt:i4>
      </vt:variant>
      <vt:variant>
        <vt:i4>0</vt:i4>
      </vt:variant>
      <vt:variant>
        <vt:i4>5</vt:i4>
      </vt:variant>
      <vt:variant>
        <vt:lpwstr/>
      </vt:variant>
      <vt:variant>
        <vt:lpwstr>_Toc417636934</vt:lpwstr>
      </vt:variant>
      <vt:variant>
        <vt:i4>1376313</vt:i4>
      </vt:variant>
      <vt:variant>
        <vt:i4>8</vt:i4>
      </vt:variant>
      <vt:variant>
        <vt:i4>0</vt:i4>
      </vt:variant>
      <vt:variant>
        <vt:i4>5</vt:i4>
      </vt:variant>
      <vt:variant>
        <vt:lpwstr/>
      </vt:variant>
      <vt:variant>
        <vt:lpwstr>_Toc417636933</vt:lpwstr>
      </vt:variant>
      <vt:variant>
        <vt:i4>70320171</vt:i4>
      </vt:variant>
      <vt:variant>
        <vt:i4>0</vt:i4>
      </vt:variant>
      <vt:variant>
        <vt:i4>0</vt:i4>
      </vt:variant>
      <vt:variant>
        <vt:i4>5</vt:i4>
      </vt:variant>
      <vt:variant>
        <vt:lpwstr>http://и-консалтинг.рф/</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НАПФ</dc:title>
  <dc:subject>НАПФ</dc:subject>
  <dc:creator>НАПФ</dc:creator>
  <cp:keywords>НАПФ</cp:keywords>
  <cp:lastModifiedBy>Иван Коломацкий</cp:lastModifiedBy>
  <cp:revision>4</cp:revision>
  <cp:lastPrinted>2025-05-20T04:34:00Z</cp:lastPrinted>
  <dcterms:created xsi:type="dcterms:W3CDTF">2025-05-20T04:33:00Z</dcterms:created>
  <dcterms:modified xsi:type="dcterms:W3CDTF">2025-05-20T04:34:00Z</dcterms:modified>
  <cp:category>НАПФ</cp:category>
  <cp:contentStatus>И-Консалтинг</cp:contentStatus>
</cp:coreProperties>
</file>